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6D7089">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1B5005" w:rsidRPr="00207827">
              <w:rPr>
                <w:sz w:val="24"/>
                <w:szCs w:val="24"/>
              </w:rPr>
              <w:t>4</w:t>
            </w:r>
            <w:r w:rsidR="00AD7AEA" w:rsidRPr="00207827">
              <w:rPr>
                <w:sz w:val="24"/>
                <w:szCs w:val="24"/>
              </w:rPr>
              <w:t>»</w:t>
            </w:r>
            <w:r w:rsidR="006D7089" w:rsidRPr="006D7089">
              <w:rPr>
                <w:sz w:val="24"/>
                <w:szCs w:val="24"/>
              </w:rPr>
              <w:t xml:space="preserve"> </w:t>
            </w:r>
            <w:r w:rsidR="006D7089">
              <w:rPr>
                <w:sz w:val="24"/>
                <w:szCs w:val="24"/>
              </w:rPr>
              <w:t xml:space="preserve"> марта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1B3087" w:rsidP="00207827">
            <w:pPr>
              <w:framePr w:hSpace="180" w:wrap="auto" w:vAnchor="page" w:hAnchor="margin" w:x="358" w:y="905"/>
              <w:rPr>
                <w:sz w:val="24"/>
                <w:szCs w:val="24"/>
              </w:rPr>
            </w:pPr>
            <w:r w:rsidRPr="00207827">
              <w:rPr>
                <w:sz w:val="24"/>
                <w:szCs w:val="24"/>
              </w:rPr>
              <w:t>ООО «РЕГИОН Траст»</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4126B2" w:rsidRPr="00207827">
              <w:rPr>
                <w:sz w:val="24"/>
                <w:szCs w:val="24"/>
              </w:rPr>
              <w:t>Н.А.Новикова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6D7089">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1B5005" w:rsidRPr="00207827">
              <w:rPr>
                <w:sz w:val="24"/>
                <w:szCs w:val="24"/>
              </w:rPr>
              <w:t>4</w:t>
            </w:r>
            <w:r w:rsidR="00AF5515" w:rsidRPr="00207827">
              <w:rPr>
                <w:sz w:val="24"/>
                <w:szCs w:val="24"/>
              </w:rPr>
              <w:t xml:space="preserve"> » </w:t>
            </w:r>
            <w:r w:rsidR="006D7089">
              <w:rPr>
                <w:sz w:val="24"/>
                <w:szCs w:val="24"/>
              </w:rPr>
              <w:t>марта</w:t>
            </w:r>
            <w:r w:rsidR="004126B2"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484282" w:rsidRPr="00207827" w:rsidRDefault="00484282" w:rsidP="00B602F2">
      <w:pPr>
        <w:ind w:left="-284" w:right="-284"/>
        <w:jc w:val="center"/>
        <w:rPr>
          <w:b/>
          <w:bCs/>
          <w:sz w:val="32"/>
          <w:szCs w:val="32"/>
        </w:rPr>
      </w:pPr>
      <w:r w:rsidRPr="00207827">
        <w:rPr>
          <w:b/>
          <w:bCs/>
          <w:sz w:val="32"/>
          <w:szCs w:val="32"/>
        </w:rPr>
        <w:t xml:space="preserve">определения стоимости чистых активов </w:t>
      </w:r>
    </w:p>
    <w:p w:rsidR="00C033D4" w:rsidRPr="00B602F2" w:rsidRDefault="00483C3E" w:rsidP="00B602F2">
      <w:pPr>
        <w:ind w:left="-284" w:right="-284"/>
        <w:jc w:val="center"/>
        <w:rPr>
          <w:b/>
          <w:bCs/>
          <w:sz w:val="32"/>
          <w:szCs w:val="32"/>
        </w:rPr>
      </w:pPr>
      <w:r w:rsidRPr="00B602F2">
        <w:rPr>
          <w:b/>
          <w:bCs/>
          <w:sz w:val="32"/>
          <w:szCs w:val="32"/>
        </w:rPr>
        <w:t>Открытого</w:t>
      </w:r>
      <w:r w:rsidR="00E23E20" w:rsidRPr="00B602F2">
        <w:rPr>
          <w:b/>
          <w:bCs/>
          <w:sz w:val="32"/>
          <w:szCs w:val="32"/>
        </w:rPr>
        <w:t xml:space="preserve"> паевого инвестиционного фонда </w:t>
      </w:r>
      <w:r w:rsidR="00E300F2" w:rsidRPr="00B602F2">
        <w:rPr>
          <w:b/>
          <w:bCs/>
          <w:sz w:val="32"/>
          <w:szCs w:val="32"/>
        </w:rPr>
        <w:t>рыночных финансовых инструментов</w:t>
      </w:r>
      <w:r w:rsidRPr="00B602F2">
        <w:rPr>
          <w:b/>
          <w:bCs/>
          <w:sz w:val="32"/>
          <w:szCs w:val="32"/>
        </w:rPr>
        <w:t xml:space="preserve"> </w:t>
      </w:r>
      <w:r w:rsidR="00E97C2D" w:rsidRPr="00B602F2">
        <w:rPr>
          <w:b/>
          <w:bCs/>
          <w:sz w:val="32"/>
          <w:szCs w:val="32"/>
        </w:rPr>
        <w:t>«</w:t>
      </w:r>
      <w:r w:rsidR="00534572" w:rsidRPr="00B602F2">
        <w:rPr>
          <w:b/>
          <w:bCs/>
          <w:sz w:val="32"/>
          <w:szCs w:val="32"/>
        </w:rPr>
        <w:t>Сфера</w:t>
      </w:r>
      <w:r w:rsidR="00E97C2D"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EC5B37" w:rsidRPr="006D7089" w:rsidRDefault="00EC5B37" w:rsidP="00B602F2">
      <w:pPr>
        <w:pStyle w:val="BodyNum"/>
        <w:numPr>
          <w:ilvl w:val="0"/>
          <w:numId w:val="0"/>
        </w:numPr>
        <w:ind w:left="-142"/>
      </w:pPr>
    </w:p>
    <w:p w:rsidR="00EC5B37" w:rsidRPr="006D7089" w:rsidRDefault="00EC5B37"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B602F2" w:rsidRDefault="00484282" w:rsidP="00B602F2">
      <w:pPr>
        <w:tabs>
          <w:tab w:val="num" w:pos="-142"/>
        </w:tabs>
        <w:jc w:val="both"/>
        <w:rPr>
          <w:sz w:val="24"/>
          <w:szCs w:val="24"/>
        </w:rPr>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открытого паевого инвестиционного фонда «Открытый паевой инвестиционный фонд рыночных финансовых инструментов «</w:t>
      </w:r>
      <w:r w:rsidR="00534572" w:rsidRPr="00B602F2">
        <w:rPr>
          <w:rFonts w:ascii="Times New Roman" w:hAnsi="Times New Roman"/>
          <w:sz w:val="24"/>
          <w:szCs w:val="24"/>
        </w:rPr>
        <w:t>Сфера</w:t>
      </w:r>
      <w:r w:rsidRPr="00B602F2">
        <w:rPr>
          <w:rFonts w:ascii="Times New Roman" w:hAnsi="Times New Roman"/>
          <w:sz w:val="24"/>
          <w:szCs w:val="24"/>
        </w:rPr>
        <w:t>» под управлением ООО «РЕГИОН Траст» (далее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6D7089" w:rsidRPr="00E37D01">
        <w:rPr>
          <w:rFonts w:eastAsia="Calibri"/>
          <w:sz w:val="24"/>
          <w:szCs w:val="24"/>
          <w:lang w:eastAsia="en-US"/>
        </w:rPr>
        <w:t>2</w:t>
      </w:r>
      <w:r w:rsidR="00F23C68" w:rsidRPr="00F23C68">
        <w:rPr>
          <w:rFonts w:eastAsia="Calibri"/>
          <w:sz w:val="24"/>
          <w:szCs w:val="24"/>
          <w:lang w:eastAsia="en-US"/>
        </w:rPr>
        <w:t>6</w:t>
      </w:r>
      <w:r w:rsidR="006D7089" w:rsidRPr="00E37D01">
        <w:rPr>
          <w:rFonts w:eastAsia="Calibri"/>
          <w:sz w:val="24"/>
          <w:szCs w:val="24"/>
          <w:lang w:eastAsia="en-US"/>
        </w:rPr>
        <w:t xml:space="preserve"> март</w:t>
      </w:r>
      <w:r w:rsidR="00E37D01" w:rsidRPr="00E37D01">
        <w:rPr>
          <w:rFonts w:eastAsia="Calibri"/>
          <w:sz w:val="24"/>
          <w:szCs w:val="24"/>
          <w:lang w:eastAsia="en-US"/>
        </w:rPr>
        <w:t>а</w:t>
      </w:r>
      <w:r w:rsidR="006D7089" w:rsidRPr="00E37D01">
        <w:rPr>
          <w:rFonts w:eastAsia="Calibri"/>
          <w:sz w:val="24"/>
          <w:szCs w:val="24"/>
          <w:lang w:eastAsia="en-US"/>
        </w:rPr>
        <w:t xml:space="preserve"> </w:t>
      </w:r>
      <w:r w:rsidR="0042481A" w:rsidRPr="00E37D01">
        <w:rPr>
          <w:rFonts w:eastAsia="Calibri"/>
          <w:sz w:val="24"/>
          <w:szCs w:val="24"/>
          <w:lang w:eastAsia="en-US"/>
        </w:rPr>
        <w:t>201</w:t>
      </w:r>
      <w:r w:rsidR="004126B2" w:rsidRPr="00E37D01">
        <w:rPr>
          <w:rFonts w:eastAsia="Calibri"/>
          <w:sz w:val="24"/>
          <w:szCs w:val="24"/>
          <w:lang w:eastAsia="en-US"/>
        </w:rPr>
        <w:t>9</w:t>
      </w:r>
      <w:r w:rsidR="0042481A" w:rsidRPr="00E37D01">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33pt" o:ole="">
            <v:imagedata r:id="rId10" o:title=""/>
          </v:shape>
          <o:OLEObject Type="Embed" ProgID="Equation.3" ShapeID="_x0000_i1025" DrawAspect="Content" ObjectID="_1614084985"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pt" o:ole="">
            <v:imagedata r:id="rId12" o:title=""/>
          </v:shape>
          <o:OLEObject Type="Embed" ProgID="Equation.3" ShapeID="_x0000_i1026" DrawAspect="Content" ObjectID="_1614084986"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pt;height:13pt" o:ole="">
            <v:imagedata r:id="rId14" o:title=""/>
          </v:shape>
          <o:OLEObject Type="Embed" ProgID="Equation.3" ShapeID="_x0000_i1027" DrawAspect="Content" ObjectID="_1614084987"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pt;height:18pt" o:ole="">
            <v:imagedata r:id="rId16" o:title=""/>
          </v:shape>
          <o:OLEObject Type="Embed" ProgID="Equation.3" ShapeID="_x0000_i1028" DrawAspect="Content" ObjectID="_1614084988"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pt;height:19pt" o:ole="">
            <v:imagedata r:id="rId18" o:title=""/>
          </v:shape>
          <o:OLEObject Type="Embed" ProgID="Equation.3" ShapeID="_x0000_i1029" DrawAspect="Content" ObjectID="_1614084989"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pt" o:ole="">
            <v:imagedata r:id="rId20" o:title=""/>
          </v:shape>
          <o:OLEObject Type="Embed" ProgID="Equation.3" ShapeID="_x0000_i1030" DrawAspect="Content" ObjectID="_1614084990"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pt;height:18pt" o:ole="">
            <v:imagedata r:id="rId22" o:title=""/>
          </v:shape>
          <o:OLEObject Type="Embed" ProgID="Equation.3" ShapeID="_x0000_i1031" DrawAspect="Content" ObjectID="_1614084991"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5pt;height:18pt" o:ole="">
            <v:imagedata r:id="rId24" o:title=""/>
          </v:shape>
          <o:OLEObject Type="Embed" ProgID="Equation.3" ShapeID="_x0000_i1032" DrawAspect="Content" ObjectID="_1614084992"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9.5pt" o:ole="">
            <v:imagedata r:id="rId26" o:title=""/>
          </v:shape>
          <o:OLEObject Type="Embed" ProgID="Equation.3" ShapeID="_x0000_i1033" DrawAspect="Content" ObjectID="_1614084993"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5pt;height:21.5pt" o:ole="">
            <v:imagedata r:id="rId28" o:title=""/>
          </v:shape>
          <o:OLEObject Type="Embed" ProgID="Equation.3" ShapeID="_x0000_i1034" DrawAspect="Content" ObjectID="_1614084994"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5pt;height:25pt" o:ole="">
            <v:imagedata r:id="rId30" o:title=""/>
          </v:shape>
          <o:OLEObject Type="Embed" ProgID="Equation.3" ShapeID="_x0000_i1035" DrawAspect="Content" ObjectID="_1614084995"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pt;height:18pt" o:ole="">
            <v:imagedata r:id="rId32" o:title=""/>
          </v:shape>
          <o:OLEObject Type="Embed" ProgID="Equation.3" ShapeID="_x0000_i1036" DrawAspect="Content" ObjectID="_1614084996"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5pt;height:32.5pt" o:ole="">
                  <v:imagedata r:id="rId34" o:title=""/>
                </v:shape>
                <o:OLEObject Type="Embed" ProgID="Equation.3" ShapeID="_x0000_i1038" DrawAspect="Content" ObjectID="_1614084997"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pt;height:19pt" o:ole="">
            <v:imagedata r:id="rId36" o:title=""/>
          </v:shape>
          <o:OLEObject Type="Embed" ProgID="Equation.3" ShapeID="_x0000_i1039" DrawAspect="Content" ObjectID="_1614084998"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pt;height:18pt" o:ole="">
            <v:imagedata r:id="rId38" o:title=""/>
          </v:shape>
          <o:OLEObject Type="Embed" ProgID="Equation.3" ShapeID="_x0000_i1040" DrawAspect="Content" ObjectID="_1614084999"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5pt;height:51pt" o:ole="">
            <v:imagedata r:id="rId40" o:title=""/>
          </v:shape>
          <o:OLEObject Type="Embed" ProgID="Equation.3" ShapeID="_x0000_i1041" DrawAspect="Content" ObjectID="_1614085000"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5pt;height:18pt" o:ole="">
            <v:imagedata r:id="rId42" o:title=""/>
          </v:shape>
          <o:OLEObject Type="Embed" ProgID="Equation.3" ShapeID="_x0000_i1042" DrawAspect="Content" ObjectID="_1614085001"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pt;height:18pt" o:ole="">
            <v:imagedata r:id="rId44" o:title=""/>
          </v:shape>
          <o:OLEObject Type="Embed" ProgID="Equation.3" ShapeID="_x0000_i1043" DrawAspect="Content" ObjectID="_1614085002"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pt;height:13pt" o:ole="">
            <v:imagedata r:id="rId14" o:title=""/>
          </v:shape>
          <o:OLEObject Type="Embed" ProgID="Equation.3" ShapeID="_x0000_i1044" DrawAspect="Content" ObjectID="_1614085003"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5pt;height:18pt" o:ole="">
            <v:imagedata r:id="rId47" o:title=""/>
          </v:shape>
          <o:OLEObject Type="Embed" ProgID="Equation.3" ShapeID="_x0000_i1045" DrawAspect="Content" ObjectID="_1614085004"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pt;height:18pt" o:ole="">
            <v:imagedata r:id="rId44" o:title=""/>
          </v:shape>
          <o:OLEObject Type="Embed" ProgID="Equation.3" ShapeID="_x0000_i1046" DrawAspect="Content" ObjectID="_1614085005"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5pt;height:18pt" o:ole="">
            <v:imagedata r:id="rId47" o:title=""/>
          </v:shape>
          <o:OLEObject Type="Embed" ProgID="Equation.3" ShapeID="_x0000_i1047" DrawAspect="Content" ObjectID="_1614085006"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pt;height:18pt" o:ole="">
            <v:imagedata r:id="rId44" o:title=""/>
          </v:shape>
          <o:OLEObject Type="Embed" ProgID="Equation.3" ShapeID="_x0000_i1048" DrawAspect="Content" ObjectID="_1614085007"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5pt;height:18pt" o:ole="">
            <v:imagedata r:id="rId52" o:title=""/>
          </v:shape>
          <o:OLEObject Type="Embed" ProgID="Equation.3" ShapeID="_x0000_i1049" DrawAspect="Content" ObjectID="_1614085008"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pt;height:17.5pt" o:ole="">
            <v:imagedata r:id="rId54" o:title=""/>
          </v:shape>
          <o:OLEObject Type="Embed" ProgID="Equation.3" ShapeID="_x0000_i1050" DrawAspect="Content" ObjectID="_1614085009"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pt;height:18pt" o:ole="">
            <v:imagedata r:id="rId44" o:title=""/>
          </v:shape>
          <o:OLEObject Type="Embed" ProgID="Equation.3" ShapeID="_x0000_i1051" DrawAspect="Content" ObjectID="_1614085010"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pt;height:131pt" o:ole="">
            <v:imagedata r:id="rId57" o:title=""/>
          </v:shape>
          <o:OLEObject Type="Embed" ProgID="Equation.3" ShapeID="_x0000_i1052" DrawAspect="Content" ObjectID="_1614085011"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pt;height:18pt" o:ole="">
            <v:imagedata r:id="rId59" o:title=""/>
          </v:shape>
          <o:OLEObject Type="Embed" ProgID="Equation.3" ShapeID="_x0000_i1053" DrawAspect="Content" ObjectID="_1614085012"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5pt;height:18pt" o:ole="">
            <v:imagedata r:id="rId61" o:title=""/>
          </v:shape>
          <o:OLEObject Type="Embed" ProgID="Equation.3" ShapeID="_x0000_i1054" DrawAspect="Content" ObjectID="_1614085013"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pt;height:33pt" o:ole="">
            <v:imagedata r:id="rId63" o:title=""/>
          </v:shape>
          <o:OLEObject Type="Embed" ProgID="Equation.3" ShapeID="_x0000_i1055" DrawAspect="Content" ObjectID="_1614085014"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9.5pt" o:ole="">
            <v:imagedata r:id="rId26" o:title=""/>
          </v:shape>
          <o:OLEObject Type="Embed" ProgID="Equation.3" ShapeID="_x0000_i1056" DrawAspect="Content" ObjectID="_1614085015"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5pt;height:21.5pt" o:ole="">
            <v:imagedata r:id="rId28" o:title=""/>
          </v:shape>
          <o:OLEObject Type="Embed" ProgID="Equation.3" ShapeID="_x0000_i1057" DrawAspect="Content" ObjectID="_1614085016"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5pt;height:18pt" o:ole="">
            <v:imagedata r:id="rId47" o:title=""/>
          </v:shape>
          <o:OLEObject Type="Embed" ProgID="Equation.3" ShapeID="_x0000_i1058" DrawAspect="Content" ObjectID="_1614085017"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5pt;height:25pt" o:ole="">
            <v:imagedata r:id="rId30" o:title=""/>
          </v:shape>
          <o:OLEObject Type="Embed" ProgID="Equation.3" ShapeID="_x0000_i1059" DrawAspect="Content" ObjectID="_1614085018"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5pt;height:18pt" o:ole="">
            <v:imagedata r:id="rId47" o:title=""/>
          </v:shape>
          <o:OLEObject Type="Embed" ProgID="Equation.3" ShapeID="_x0000_i1060" DrawAspect="Content" ObjectID="_1614085019"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pt;height:18pt" o:ole="">
            <v:imagedata r:id="rId32" o:title=""/>
          </v:shape>
          <o:OLEObject Type="Embed" ProgID="Equation.3" ShapeID="_x0000_i1061" DrawAspect="Content" ObjectID="_1614085020"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5pt;height:18pt" o:ole="">
            <v:imagedata r:id="rId47" o:title=""/>
          </v:shape>
          <o:OLEObject Type="Embed" ProgID="Equation.3" ShapeID="_x0000_i1062" DrawAspect="Content" ObjectID="_1614085021"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pt;height:18pt" o:ole="">
            <v:imagedata r:id="rId72" o:title=""/>
          </v:shape>
          <o:OLEObject Type="Embed" ProgID="Equation.3" ShapeID="_x0000_i1063" DrawAspect="Content" ObjectID="_1614085022"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pt;height:18pt" o:ole="">
            <v:imagedata r:id="rId32" o:title=""/>
          </v:shape>
          <o:OLEObject Type="Embed" ProgID="Equation.3" ShapeID="_x0000_i1064" DrawAspect="Content" ObjectID="_1614085023"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5pt;height:18pt" o:ole="">
            <v:imagedata r:id="rId47" o:title=""/>
          </v:shape>
          <o:OLEObject Type="Embed" ProgID="Equation.3" ShapeID="_x0000_i1065" DrawAspect="Content" ObjectID="_1614085024"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5pt;height:33pt" o:ole="">
            <v:imagedata r:id="rId76" o:title=""/>
          </v:shape>
          <o:OLEObject Type="Embed" ProgID="Equation.3" ShapeID="_x0000_i1066" DrawAspect="Content" ObjectID="_1614085025"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5pt;height:65.5pt" o:ole="">
              <v:imagedata r:id="rId78" o:title=""/>
            </v:shape>
            <o:OLEObject Type="Embed" ProgID="Equation.3" ShapeID="_x0000_i1067" DrawAspect="Content" ObjectID="_1614085026"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4pt" o:ole="">
                  <v:imagedata r:id="rId80" o:title=""/>
                </v:shape>
                <o:OLEObject Type="Embed" ProgID="Equation.3" ShapeID="_x0000_i1069" DrawAspect="Content" ObjectID="_1614085027"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pt;height:18pt" o:ole="">
            <v:imagedata r:id="rId44" o:title=""/>
          </v:shape>
          <o:OLEObject Type="Embed" ProgID="Equation.3" ShapeID="_x0000_i1070" DrawAspect="Content" ObjectID="_1614085028"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pt;height:17.5pt" o:ole="">
            <v:imagedata r:id="rId54" o:title=""/>
          </v:shape>
          <o:OLEObject Type="Embed" ProgID="Equation.3" ShapeID="_x0000_i1071" DrawAspect="Content" ObjectID="_1614085029"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w:t>
      </w:r>
      <w:r w:rsidRPr="00207827">
        <w:rPr>
          <w:rFonts w:eastAsia="Batang"/>
          <w:color w:val="000000"/>
          <w:szCs w:val="24"/>
        </w:rPr>
        <w:lastRenderedPageBreak/>
        <w:t xml:space="preserve">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0" w:name="Par165"/>
      <w:bookmarkEnd w:id="0"/>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lastRenderedPageBreak/>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 xml:space="preserve">с даты получения информации о ликвидации эмитента (внесения записи в </w:t>
            </w:r>
            <w:r w:rsidRPr="006D7089">
              <w:rPr>
                <w:bCs/>
                <w:sz w:val="22"/>
                <w:szCs w:val="22"/>
              </w:rPr>
              <w:lastRenderedPageBreak/>
              <w:t>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Pr="006D7089"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w:t>
            </w:r>
            <w:r w:rsidRPr="006D7089">
              <w:rPr>
                <w:bCs/>
                <w:sz w:val="22"/>
                <w:szCs w:val="22"/>
              </w:rPr>
              <w:lastRenderedPageBreak/>
              <w:t>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B602F2">
        <w:rPr>
          <w:rFonts w:eastAsia="Batang"/>
          <w:color w:val="000000"/>
          <w:sz w:val="24"/>
          <w:szCs w:val="24"/>
        </w:rPr>
        <w:lastRenderedPageBreak/>
        <w:t>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lastRenderedPageBreak/>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F23C68"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F23C6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F23C6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F23C68"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F23C6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F23C6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F23C68"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F23C6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F23C6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w:lastRenderedPageBreak/>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lastRenderedPageBreak/>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F23C6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F23C6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F23C68"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lastRenderedPageBreak/>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3E2FA3A7" wp14:editId="44A61842">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5pt;height:34.5pt" o:ole="">
            <v:imagedata r:id="rId85" o:title=""/>
          </v:shape>
          <o:OLEObject Type="Embed" ProgID="Equation.3" ShapeID="_x0000_i1072" DrawAspect="Content" ObjectID="_1614085030"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w:t>
      </w:r>
      <w:r w:rsidRPr="00B602F2">
        <w:rPr>
          <w:sz w:val="24"/>
          <w:szCs w:val="24"/>
        </w:rPr>
        <w:lastRenderedPageBreak/>
        <w:t xml:space="preserve">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F23C6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F23C6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lastRenderedPageBreak/>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F23C6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F23C6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F23C6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F23C68"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F23C68"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F23C68"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5pt;height:34.5pt" o:ole="">
            <v:imagedata r:id="rId85" o:title=""/>
          </v:shape>
          <o:OLEObject Type="Embed" ProgID="Equation.3" ShapeID="_x0000_i1073" DrawAspect="Content" ObjectID="_1614085031"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w:t>
      </w:r>
      <w:r w:rsidRPr="00B602F2">
        <w:rPr>
          <w:sz w:val="24"/>
          <w:szCs w:val="24"/>
        </w:rPr>
        <w:lastRenderedPageBreak/>
        <w:t>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w:t>
      </w:r>
      <w:r w:rsidRPr="00B602F2">
        <w:rPr>
          <w:rFonts w:eastAsia="Calibri"/>
          <w:sz w:val="24"/>
          <w:szCs w:val="24"/>
          <w:lang w:eastAsia="en-US"/>
        </w:rPr>
        <w:lastRenderedPageBreak/>
        <w:t>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F23C68"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F23C68"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F23C6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F23C68"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F23C6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F23C6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w:t>
      </w:r>
      <w:r w:rsidR="008F7813" w:rsidRPr="00207827">
        <w:rPr>
          <w:sz w:val="24"/>
          <w:szCs w:val="24"/>
        </w:rPr>
        <w:lastRenderedPageBreak/>
        <w:t>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F23C6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pt;height:34.5pt" o:ole="">
            <v:imagedata r:id="rId90" o:title=""/>
          </v:shape>
          <o:OLEObject Type="Embed" ProgID="Equation.3" ShapeID="_x0000_i1074" DrawAspect="Content" ObjectID="_1614085032"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5pt;height:19pt" o:ole="">
            <v:imagedata r:id="rId92" o:title=""/>
          </v:shape>
          <o:OLEObject Type="Embed" ProgID="Equation.3" ShapeID="_x0000_i1075" DrawAspect="Content" ObjectID="_1614085033"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pt;height:19pt" o:ole="">
            <v:imagedata r:id="rId94" o:title=""/>
          </v:shape>
          <o:OLEObject Type="Embed" ProgID="Equation.3" ShapeID="_x0000_i1076" DrawAspect="Content" ObjectID="_1614085034"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lastRenderedPageBreak/>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w:t>
      </w:r>
      <w:r w:rsidRPr="00B602F2">
        <w:rPr>
          <w:rFonts w:ascii="Times New Roman" w:hAnsi="Times New Roman"/>
          <w:sz w:val="24"/>
          <w:szCs w:val="24"/>
        </w:rPr>
        <w:lastRenderedPageBreak/>
        <w:t>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lastRenderedPageBreak/>
        <w:t>Дебиторская задолженность по ценным бумагам (частичному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r w:rsidRPr="00B602F2">
        <w:rPr>
          <w:rFonts w:eastAsia="Calibri"/>
          <w:b/>
          <w:sz w:val="24"/>
          <w:szCs w:val="24"/>
          <w:lang w:eastAsia="en-US"/>
        </w:rPr>
        <w:t>)</w:t>
      </w:r>
    </w:p>
    <w:p w:rsidR="00524AFE" w:rsidRPr="00B602F2" w:rsidRDefault="00A675EE" w:rsidP="006D7089">
      <w:pPr>
        <w:numPr>
          <w:ilvl w:val="1"/>
          <w:numId w:val="12"/>
        </w:numPr>
        <w:ind w:left="851" w:hanging="425"/>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Pr="00B602F2"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Pr="00B602F2">
        <w:rPr>
          <w:rFonts w:eastAsia="Calibri"/>
          <w:sz w:val="24"/>
          <w:szCs w:val="24"/>
          <w:lang w:eastAsia="en-US"/>
        </w:rPr>
        <w:t>.</w:t>
      </w:r>
    </w:p>
    <w:p w:rsidR="00524AFE" w:rsidRPr="00B602F2" w:rsidRDefault="00524AFE" w:rsidP="006D7089">
      <w:pPr>
        <w:numPr>
          <w:ilvl w:val="1"/>
          <w:numId w:val="12"/>
        </w:numPr>
        <w:ind w:left="709" w:hanging="142"/>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lastRenderedPageBreak/>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lastRenderedPageBreak/>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F23C68"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F23C68"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lastRenderedPageBreak/>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F23C68"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F23C68"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lastRenderedPageBreak/>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lastRenderedPageBreak/>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F23C68"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При возникновении просрочки длительностью в 1 день и более</w:t>
      </w:r>
      <w:r w:rsidRPr="00F23C68">
        <w:rPr>
          <w:sz w:val="24"/>
          <w:szCs w:val="24"/>
        </w:rPr>
        <w:t>,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F23C68"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Default="00074819" w:rsidP="00074819"/>
    <w:p w:rsidR="00992280" w:rsidRPr="00207827" w:rsidRDefault="00992280" w:rsidP="00207827">
      <w:pPr>
        <w:spacing w:line="276" w:lineRule="auto"/>
        <w:contextualSpacing/>
        <w:jc w:val="both"/>
        <w:rPr>
          <w:rFonts w:eastAsia="Calibri"/>
          <w:sz w:val="24"/>
          <w:szCs w:val="24"/>
          <w:lang w:eastAsia="en-US"/>
        </w:rPr>
      </w:pPr>
    </w:p>
    <w:p w:rsidR="00AE2EEA" w:rsidRDefault="00AE2EEA"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F23C68" w:rsidRDefault="00F23C68" w:rsidP="006D7089">
      <w:pPr>
        <w:rPr>
          <w:sz w:val="24"/>
          <w:szCs w:val="24"/>
          <w:lang w:val="en-US"/>
        </w:rPr>
      </w:pPr>
    </w:p>
    <w:p w:rsidR="00AE2EEA" w:rsidRPr="00B602F2" w:rsidRDefault="00AE2EEA" w:rsidP="006D7089">
      <w:pPr>
        <w:rPr>
          <w:sz w:val="24"/>
          <w:szCs w:val="24"/>
        </w:rPr>
      </w:pPr>
      <w:bookmarkStart w:id="1" w:name="_GoBack"/>
      <w:bookmarkEnd w:id="1"/>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08" w:rsidRDefault="00F05508" w:rsidP="003830AE">
      <w:r>
        <w:separator/>
      </w:r>
    </w:p>
  </w:endnote>
  <w:endnote w:type="continuationSeparator" w:id="0">
    <w:p w:rsidR="00F05508" w:rsidRDefault="00F0550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pPr>
      <w:pStyle w:val="af2"/>
      <w:jc w:val="right"/>
    </w:pPr>
    <w:r>
      <w:fldChar w:fldCharType="begin"/>
    </w:r>
    <w:r>
      <w:instrText>PAGE   \* MERGEFORMAT</w:instrText>
    </w:r>
    <w:r>
      <w:fldChar w:fldCharType="separate"/>
    </w:r>
    <w:r w:rsidR="00F23C68">
      <w:rPr>
        <w:noProof/>
      </w:rPr>
      <w:t>44</w:t>
    </w:r>
    <w:r>
      <w:fldChar w:fldCharType="end"/>
    </w:r>
  </w:p>
  <w:p w:rsidR="00F05508" w:rsidRDefault="00F055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08" w:rsidRDefault="00F05508" w:rsidP="003830AE">
      <w:r>
        <w:separator/>
      </w:r>
    </w:p>
  </w:footnote>
  <w:footnote w:type="continuationSeparator" w:id="0">
    <w:p w:rsidR="00F05508" w:rsidRDefault="00F05508" w:rsidP="003830AE">
      <w:r>
        <w:continuationSeparator/>
      </w:r>
    </w:p>
  </w:footnote>
  <w:footnote w:id="1">
    <w:p w:rsidR="00F05508" w:rsidRPr="009B2BBA" w:rsidRDefault="00F05508"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F05508" w:rsidRPr="001914BA" w:rsidRDefault="00F05508"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F05508" w:rsidRPr="009B2BBA" w:rsidRDefault="00F05508"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4">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8">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1">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6">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9">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1">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79"/>
  </w:num>
  <w:num w:numId="3">
    <w:abstractNumId w:val="87"/>
  </w:num>
  <w:num w:numId="4">
    <w:abstractNumId w:val="2"/>
  </w:num>
  <w:num w:numId="5">
    <w:abstractNumId w:val="59"/>
  </w:num>
  <w:num w:numId="6">
    <w:abstractNumId w:val="80"/>
  </w:num>
  <w:num w:numId="7">
    <w:abstractNumId w:val="19"/>
  </w:num>
  <w:num w:numId="8">
    <w:abstractNumId w:val="100"/>
  </w:num>
  <w:num w:numId="9">
    <w:abstractNumId w:val="7"/>
  </w:num>
  <w:num w:numId="10">
    <w:abstractNumId w:val="71"/>
  </w:num>
  <w:num w:numId="11">
    <w:abstractNumId w:val="4"/>
  </w:num>
  <w:num w:numId="12">
    <w:abstractNumId w:val="10"/>
  </w:num>
  <w:num w:numId="13">
    <w:abstractNumId w:val="25"/>
  </w:num>
  <w:num w:numId="14">
    <w:abstractNumId w:val="35"/>
  </w:num>
  <w:num w:numId="15">
    <w:abstractNumId w:val="40"/>
  </w:num>
  <w:num w:numId="16">
    <w:abstractNumId w:val="96"/>
  </w:num>
  <w:num w:numId="17">
    <w:abstractNumId w:val="89"/>
  </w:num>
  <w:num w:numId="18">
    <w:abstractNumId w:val="70"/>
  </w:num>
  <w:num w:numId="19">
    <w:abstractNumId w:val="60"/>
  </w:num>
  <w:num w:numId="20">
    <w:abstractNumId w:val="64"/>
  </w:num>
  <w:num w:numId="21">
    <w:abstractNumId w:val="6"/>
  </w:num>
  <w:num w:numId="22">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97"/>
  </w:num>
  <w:num w:numId="26">
    <w:abstractNumId w:val="81"/>
  </w:num>
  <w:num w:numId="27">
    <w:abstractNumId w:val="51"/>
  </w:num>
  <w:num w:numId="28">
    <w:abstractNumId w:val="42"/>
  </w:num>
  <w:num w:numId="29">
    <w:abstractNumId w:val="45"/>
  </w:num>
  <w:num w:numId="30">
    <w:abstractNumId w:val="75"/>
  </w:num>
  <w:num w:numId="31">
    <w:abstractNumId w:val="23"/>
  </w:num>
  <w:num w:numId="32">
    <w:abstractNumId w:val="3"/>
  </w:num>
  <w:num w:numId="33">
    <w:abstractNumId w:val="5"/>
  </w:num>
  <w:num w:numId="34">
    <w:abstractNumId w:val="90"/>
  </w:num>
  <w:num w:numId="35">
    <w:abstractNumId w:val="28"/>
  </w:num>
  <w:num w:numId="36">
    <w:abstractNumId w:val="58"/>
  </w:num>
  <w:num w:numId="37">
    <w:abstractNumId w:val="84"/>
  </w:num>
  <w:num w:numId="38">
    <w:abstractNumId w:val="63"/>
  </w:num>
  <w:num w:numId="39">
    <w:abstractNumId w:val="93"/>
  </w:num>
  <w:num w:numId="40">
    <w:abstractNumId w:val="43"/>
  </w:num>
  <w:num w:numId="41">
    <w:abstractNumId w:val="39"/>
  </w:num>
  <w:num w:numId="42">
    <w:abstractNumId w:val="14"/>
  </w:num>
  <w:num w:numId="43">
    <w:abstractNumId w:val="41"/>
  </w:num>
  <w:num w:numId="44">
    <w:abstractNumId w:val="50"/>
  </w:num>
  <w:num w:numId="45">
    <w:abstractNumId w:val="11"/>
  </w:num>
  <w:num w:numId="46">
    <w:abstractNumId w:val="34"/>
  </w:num>
  <w:num w:numId="47">
    <w:abstractNumId w:val="34"/>
    <w:lvlOverride w:ilvl="0">
      <w:startOverride w:val="1"/>
    </w:lvlOverride>
  </w:num>
  <w:num w:numId="48">
    <w:abstractNumId w:val="30"/>
  </w:num>
  <w:num w:numId="49">
    <w:abstractNumId w:val="61"/>
  </w:num>
  <w:num w:numId="50">
    <w:abstractNumId w:val="1"/>
  </w:num>
  <w:num w:numId="51">
    <w:abstractNumId w:val="32"/>
  </w:num>
  <w:num w:numId="52">
    <w:abstractNumId w:val="12"/>
  </w:num>
  <w:num w:numId="53">
    <w:abstractNumId w:val="36"/>
  </w:num>
  <w:num w:numId="54">
    <w:abstractNumId w:val="88"/>
  </w:num>
  <w:num w:numId="55">
    <w:abstractNumId w:val="53"/>
  </w:num>
  <w:num w:numId="56">
    <w:abstractNumId w:val="16"/>
  </w:num>
  <w:num w:numId="57">
    <w:abstractNumId w:val="82"/>
  </w:num>
  <w:num w:numId="58">
    <w:abstractNumId w:val="8"/>
  </w:num>
  <w:num w:numId="59">
    <w:abstractNumId w:val="35"/>
  </w:num>
  <w:num w:numId="60">
    <w:abstractNumId w:val="33"/>
  </w:num>
  <w:num w:numId="61">
    <w:abstractNumId w:val="49"/>
  </w:num>
  <w:num w:numId="62">
    <w:abstractNumId w:val="54"/>
  </w:num>
  <w:num w:numId="63">
    <w:abstractNumId w:val="48"/>
  </w:num>
  <w:num w:numId="64">
    <w:abstractNumId w:val="7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4"/>
  </w:num>
  <w:num w:numId="68">
    <w:abstractNumId w:val="15"/>
  </w:num>
  <w:num w:numId="69">
    <w:abstractNumId w:val="94"/>
  </w:num>
  <w:num w:numId="70">
    <w:abstractNumId w:val="24"/>
  </w:num>
  <w:num w:numId="71">
    <w:abstractNumId w:val="78"/>
  </w:num>
  <w:num w:numId="72">
    <w:abstractNumId w:val="57"/>
  </w:num>
  <w:num w:numId="73">
    <w:abstractNumId w:val="9"/>
  </w:num>
  <w:num w:numId="74">
    <w:abstractNumId w:val="55"/>
  </w:num>
  <w:num w:numId="75">
    <w:abstractNumId w:val="69"/>
  </w:num>
  <w:num w:numId="76">
    <w:abstractNumId w:val="22"/>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01"/>
  </w:num>
  <w:num w:numId="80">
    <w:abstractNumId w:val="83"/>
  </w:num>
  <w:num w:numId="81">
    <w:abstractNumId w:val="98"/>
  </w:num>
  <w:num w:numId="82">
    <w:abstractNumId w:val="27"/>
  </w:num>
  <w:num w:numId="83">
    <w:abstractNumId w:val="38"/>
  </w:num>
  <w:num w:numId="84">
    <w:abstractNumId w:val="46"/>
  </w:num>
  <w:num w:numId="85">
    <w:abstractNumId w:val="65"/>
  </w:num>
  <w:num w:numId="86">
    <w:abstractNumId w:val="0"/>
  </w:num>
  <w:num w:numId="87">
    <w:abstractNumId w:val="18"/>
  </w:num>
  <w:num w:numId="88">
    <w:abstractNumId w:val="68"/>
  </w:num>
  <w:num w:numId="89">
    <w:abstractNumId w:val="26"/>
  </w:num>
  <w:num w:numId="90">
    <w:abstractNumId w:val="29"/>
  </w:num>
  <w:num w:numId="91">
    <w:abstractNumId w:val="21"/>
  </w:num>
  <w:num w:numId="92">
    <w:abstractNumId w:val="20"/>
  </w:num>
  <w:num w:numId="93">
    <w:abstractNumId w:val="37"/>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86"/>
  </w:num>
  <w:num w:numId="97">
    <w:abstractNumId w:val="56"/>
  </w:num>
  <w:num w:numId="98">
    <w:abstractNumId w:val="85"/>
  </w:num>
  <w:num w:numId="99">
    <w:abstractNumId w:val="99"/>
  </w:num>
  <w:num w:numId="100">
    <w:abstractNumId w:val="91"/>
  </w:num>
  <w:num w:numId="101">
    <w:abstractNumId w:val="73"/>
  </w:num>
  <w:num w:numId="102">
    <w:abstractNumId w:val="74"/>
  </w:num>
  <w:num w:numId="103">
    <w:abstractNumId w:val="76"/>
  </w:num>
  <w:num w:numId="104">
    <w:abstractNumId w:val="92"/>
  </w:num>
  <w:num w:numId="105">
    <w:abstractNumId w:val="47"/>
  </w:num>
  <w:num w:numId="106">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45B5"/>
    <w:rsid w:val="004E6328"/>
    <w:rsid w:val="004E7A4E"/>
    <w:rsid w:val="004F169B"/>
    <w:rsid w:val="004F1986"/>
    <w:rsid w:val="004F2EFF"/>
    <w:rsid w:val="004F4438"/>
    <w:rsid w:val="004F5D5D"/>
    <w:rsid w:val="004F72A2"/>
    <w:rsid w:val="00501123"/>
    <w:rsid w:val="005011DB"/>
    <w:rsid w:val="00511FFC"/>
    <w:rsid w:val="00513981"/>
    <w:rsid w:val="00513C08"/>
    <w:rsid w:val="005152F3"/>
    <w:rsid w:val="00515B50"/>
    <w:rsid w:val="00516AA2"/>
    <w:rsid w:val="00522906"/>
    <w:rsid w:val="0052348A"/>
    <w:rsid w:val="00523E57"/>
    <w:rsid w:val="0052413E"/>
    <w:rsid w:val="00524AFE"/>
    <w:rsid w:val="00530DDC"/>
    <w:rsid w:val="005318EC"/>
    <w:rsid w:val="00531A7B"/>
    <w:rsid w:val="00534572"/>
    <w:rsid w:val="00537AB0"/>
    <w:rsid w:val="00540FCA"/>
    <w:rsid w:val="00542EFF"/>
    <w:rsid w:val="005441DC"/>
    <w:rsid w:val="0054520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75DF"/>
    <w:rsid w:val="00F01D33"/>
    <w:rsid w:val="00F04EBA"/>
    <w:rsid w:val="00F05508"/>
    <w:rsid w:val="00F141D8"/>
    <w:rsid w:val="00F200B5"/>
    <w:rsid w:val="00F23785"/>
    <w:rsid w:val="00F23C68"/>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9AE5-2754-4634-851B-E64B9CB7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16602</Words>
  <Characters>94634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111014</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Крутова</cp:lastModifiedBy>
  <cp:revision>3</cp:revision>
  <cp:lastPrinted>2019-03-07T11:04:00Z</cp:lastPrinted>
  <dcterms:created xsi:type="dcterms:W3CDTF">2019-03-14T12:41:00Z</dcterms:created>
  <dcterms:modified xsi:type="dcterms:W3CDTF">2019-03-14T13:09:00Z</dcterms:modified>
</cp:coreProperties>
</file>