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E94324">
        <w:trPr>
          <w:trHeight w:val="3534"/>
        </w:trPr>
        <w:tc>
          <w:tcPr>
            <w:tcW w:w="5211" w:type="dxa"/>
            <w:shd w:val="clear" w:color="auto" w:fill="auto"/>
          </w:tcPr>
          <w:p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rPr>
                <w:szCs w:val="24"/>
              </w:rPr>
            </w:pPr>
          </w:p>
          <w:p w:rsidR="003F3BB4" w:rsidRPr="00E94324" w:rsidRDefault="003F3BB4" w:rsidP="003F3BB4">
            <w:pPr>
              <w:framePr w:hSpace="180" w:wrap="auto" w:vAnchor="page" w:hAnchor="margin" w:x="358" w:y="905"/>
              <w:rPr>
                <w:szCs w:val="24"/>
              </w:rPr>
            </w:pPr>
            <w:r>
              <w:rPr>
                <w:szCs w:val="24"/>
              </w:rPr>
              <w:t>Исполните</w:t>
            </w:r>
            <w:r w:rsidRPr="00E94324">
              <w:rPr>
                <w:szCs w:val="24"/>
              </w:rPr>
              <w:t>льный директор</w:t>
            </w:r>
          </w:p>
          <w:p w:rsidR="003F3BB4" w:rsidRPr="00E94324" w:rsidRDefault="003F3BB4" w:rsidP="003F3BB4">
            <w:pPr>
              <w:framePr w:hSpace="180" w:wrap="auto" w:vAnchor="page" w:hAnchor="margin" w:x="358" w:y="905"/>
              <w:rPr>
                <w:szCs w:val="24"/>
              </w:rPr>
            </w:pPr>
            <w:r w:rsidRPr="00E94324">
              <w:rPr>
                <w:szCs w:val="24"/>
              </w:rPr>
              <w:t>АО «ДК РЕГИОН»</w:t>
            </w:r>
          </w:p>
          <w:p w:rsidR="003F3BB4" w:rsidRPr="00E94324" w:rsidRDefault="003F3BB4" w:rsidP="003F3BB4">
            <w:pPr>
              <w:framePr w:hSpace="180" w:wrap="auto" w:vAnchor="page" w:hAnchor="margin" w:x="358" w:y="905"/>
              <w:ind w:left="257"/>
              <w:rPr>
                <w:szCs w:val="24"/>
              </w:rPr>
            </w:pPr>
          </w:p>
          <w:p w:rsidR="003F3BB4" w:rsidRPr="00E94324" w:rsidRDefault="003F3BB4" w:rsidP="003F3BB4">
            <w:pPr>
              <w:framePr w:hSpace="180" w:wrap="auto" w:vAnchor="page" w:hAnchor="margin" w:x="358" w:y="905"/>
              <w:ind w:left="257"/>
              <w:rPr>
                <w:szCs w:val="24"/>
              </w:rPr>
            </w:pPr>
          </w:p>
          <w:p w:rsidR="003F3BB4" w:rsidRPr="00E94324" w:rsidRDefault="003F3BB4" w:rsidP="003F3BB4">
            <w:pPr>
              <w:framePr w:hSpace="180" w:wrap="auto" w:vAnchor="page" w:hAnchor="margin" w:x="358" w:y="905"/>
              <w:ind w:left="257"/>
              <w:rPr>
                <w:szCs w:val="24"/>
              </w:rPr>
            </w:pPr>
          </w:p>
          <w:p w:rsidR="003F3BB4" w:rsidRPr="00E94324" w:rsidRDefault="003F3BB4" w:rsidP="003F3BB4">
            <w:pPr>
              <w:framePr w:hSpace="180" w:wrap="auto" w:vAnchor="page" w:hAnchor="margin" w:x="358" w:y="905"/>
              <w:ind w:left="257"/>
              <w:rPr>
                <w:szCs w:val="24"/>
              </w:rPr>
            </w:pPr>
          </w:p>
          <w:p w:rsidR="00AD7AEA" w:rsidRPr="00E94324" w:rsidRDefault="003F3BB4" w:rsidP="003F3BB4">
            <w:pPr>
              <w:framePr w:hSpace="180" w:wrap="auto" w:vAnchor="page" w:hAnchor="margin" w:x="358" w:y="905"/>
              <w:rPr>
                <w:szCs w:val="24"/>
              </w:rPr>
            </w:pPr>
            <w:r w:rsidRPr="00E94324">
              <w:rPr>
                <w:szCs w:val="24"/>
              </w:rPr>
              <w:t>____________________  /</w:t>
            </w:r>
            <w:r>
              <w:rPr>
                <w:szCs w:val="24"/>
              </w:rPr>
              <w:t>Н</w:t>
            </w:r>
            <w:r w:rsidRPr="00E94324">
              <w:rPr>
                <w:szCs w:val="24"/>
              </w:rPr>
              <w:t>.</w:t>
            </w:r>
            <w:r>
              <w:rPr>
                <w:szCs w:val="24"/>
              </w:rPr>
              <w:t>Е</w:t>
            </w:r>
            <w:r w:rsidRPr="00E94324">
              <w:rPr>
                <w:szCs w:val="24"/>
              </w:rPr>
              <w:t>.</w:t>
            </w:r>
            <w:r>
              <w:rPr>
                <w:szCs w:val="24"/>
              </w:rPr>
              <w:t>Сударикова</w:t>
            </w:r>
            <w:r w:rsidRPr="00E94324">
              <w:rPr>
                <w:szCs w:val="24"/>
              </w:rPr>
              <w:t xml:space="preserve">  </w:t>
            </w:r>
            <w:r w:rsidR="00AD7AEA" w:rsidRPr="00E94324">
              <w:rPr>
                <w:szCs w:val="24"/>
              </w:rPr>
              <w:t xml:space="preserve">/                    </w:t>
            </w:r>
          </w:p>
          <w:p w:rsidR="00AD7AEA" w:rsidRPr="00E94324" w:rsidRDefault="00AD7AEA" w:rsidP="0072342E">
            <w:pPr>
              <w:framePr w:hSpace="180" w:wrap="auto" w:vAnchor="page" w:hAnchor="margin" w:x="358" w:y="905"/>
              <w:rPr>
                <w:szCs w:val="24"/>
              </w:rPr>
            </w:pPr>
          </w:p>
          <w:p w:rsidR="00AD7AEA" w:rsidRPr="00E94324" w:rsidRDefault="00F013EC" w:rsidP="00E94324">
            <w:pPr>
              <w:framePr w:hSpace="180" w:wrap="auto" w:vAnchor="page" w:hAnchor="margin" w:x="358" w:y="905"/>
              <w:rPr>
                <w:sz w:val="28"/>
                <w:szCs w:val="28"/>
              </w:rPr>
            </w:pPr>
            <w:r w:rsidRPr="00E94324">
              <w:rPr>
                <w:szCs w:val="24"/>
              </w:rPr>
              <w:t>«</w:t>
            </w:r>
            <w:r w:rsidR="00E94324" w:rsidRPr="00E94324">
              <w:rPr>
                <w:szCs w:val="24"/>
              </w:rPr>
              <w:t>21</w:t>
            </w:r>
            <w:r w:rsidRPr="00E94324">
              <w:rPr>
                <w:szCs w:val="24"/>
              </w:rPr>
              <w:t xml:space="preserve">» </w:t>
            </w:r>
            <w:r w:rsidR="00E94324" w:rsidRPr="00E94324">
              <w:rPr>
                <w:szCs w:val="24"/>
              </w:rPr>
              <w:t xml:space="preserve">июня </w:t>
            </w:r>
            <w:r w:rsidRPr="00E94324">
              <w:rPr>
                <w:szCs w:val="24"/>
              </w:rPr>
              <w:t>202</w:t>
            </w:r>
            <w:r w:rsidR="0027588B" w:rsidRPr="00E94324">
              <w:rPr>
                <w:szCs w:val="24"/>
              </w:rPr>
              <w:t>3</w:t>
            </w:r>
            <w:r w:rsidRPr="00E94324">
              <w:rPr>
                <w:szCs w:val="24"/>
              </w:rPr>
              <w:t xml:space="preserve"> г.</w:t>
            </w:r>
          </w:p>
        </w:tc>
        <w:tc>
          <w:tcPr>
            <w:tcW w:w="4395" w:type="dxa"/>
            <w:shd w:val="clear" w:color="auto" w:fill="auto"/>
          </w:tcPr>
          <w:p w:rsidR="00AD7AEA" w:rsidRPr="00E94324" w:rsidRDefault="00AD7AEA" w:rsidP="0072342E">
            <w:pPr>
              <w:framePr w:hSpace="180" w:wrap="auto" w:vAnchor="page" w:hAnchor="margin" w:x="358" w:y="905"/>
              <w:rPr>
                <w:szCs w:val="24"/>
              </w:rPr>
            </w:pPr>
            <w:r w:rsidRPr="00E94324">
              <w:rPr>
                <w:szCs w:val="24"/>
              </w:rPr>
              <w:t xml:space="preserve">УТВЕРЖДЕНО </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FA592F" w:rsidP="0072342E">
            <w:pPr>
              <w:framePr w:hSpace="180" w:wrap="auto" w:vAnchor="page" w:hAnchor="margin" w:x="358" w:y="905"/>
              <w:rPr>
                <w:szCs w:val="24"/>
              </w:rPr>
            </w:pPr>
            <w:r w:rsidRPr="00E94324">
              <w:rPr>
                <w:szCs w:val="24"/>
              </w:rPr>
              <w:t>Г</w:t>
            </w:r>
            <w:r w:rsidR="00AD7AEA" w:rsidRPr="00E94324">
              <w:rPr>
                <w:szCs w:val="24"/>
              </w:rPr>
              <w:t>енеральн</w:t>
            </w:r>
            <w:r w:rsidR="00F013EC" w:rsidRPr="00E94324">
              <w:rPr>
                <w:szCs w:val="24"/>
              </w:rPr>
              <w:t xml:space="preserve">ый </w:t>
            </w:r>
            <w:r w:rsidR="00AD7AEA" w:rsidRPr="00E94324">
              <w:rPr>
                <w:szCs w:val="24"/>
              </w:rPr>
              <w:t xml:space="preserve"> директор </w:t>
            </w:r>
          </w:p>
          <w:p w:rsidR="00AD7AEA" w:rsidRDefault="005865B4" w:rsidP="0072342E">
            <w:pPr>
              <w:framePr w:hSpace="180" w:wrap="auto" w:vAnchor="page" w:hAnchor="margin" w:x="358" w:y="905"/>
              <w:rPr>
                <w:szCs w:val="24"/>
              </w:rPr>
            </w:pPr>
            <w:r>
              <w:rPr>
                <w:szCs w:val="24"/>
              </w:rPr>
              <w:t>А</w:t>
            </w:r>
            <w:r w:rsidRPr="00207827">
              <w:rPr>
                <w:szCs w:val="24"/>
              </w:rPr>
              <w:t>О «РЕГИОН Траст»</w:t>
            </w:r>
          </w:p>
          <w:p w:rsidR="005865B4" w:rsidRPr="00E94324" w:rsidRDefault="005865B4"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1B3087" w:rsidRPr="00E94324" w:rsidRDefault="001B3087"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r w:rsidRPr="00E94324">
              <w:rPr>
                <w:szCs w:val="24"/>
              </w:rPr>
              <w:t>________________ /</w:t>
            </w:r>
            <w:r w:rsidR="005865B4">
              <w:rPr>
                <w:szCs w:val="24"/>
              </w:rPr>
              <w:t>Н</w:t>
            </w:r>
            <w:r w:rsidR="00F013EC" w:rsidRPr="00E94324">
              <w:rPr>
                <w:szCs w:val="24"/>
              </w:rPr>
              <w:t>.А.</w:t>
            </w:r>
            <w:r w:rsidR="005865B4">
              <w:rPr>
                <w:szCs w:val="24"/>
              </w:rPr>
              <w:t>Новикова</w:t>
            </w:r>
            <w:r w:rsidRPr="00E94324">
              <w:rPr>
                <w:szCs w:val="24"/>
              </w:rPr>
              <w:t>/</w:t>
            </w:r>
          </w:p>
          <w:p w:rsidR="00AD7AEA" w:rsidRPr="00E94324" w:rsidRDefault="00AD7AEA" w:rsidP="0072342E">
            <w:pPr>
              <w:framePr w:hSpace="180" w:wrap="auto" w:vAnchor="page" w:hAnchor="margin" w:x="358" w:y="905"/>
              <w:tabs>
                <w:tab w:val="left" w:pos="2722"/>
              </w:tabs>
              <w:rPr>
                <w:szCs w:val="24"/>
              </w:rPr>
            </w:pPr>
          </w:p>
          <w:p w:rsidR="00AD7AEA" w:rsidRPr="00E94324" w:rsidRDefault="009F3E47" w:rsidP="00E94324">
            <w:pPr>
              <w:framePr w:hSpace="180" w:wrap="auto" w:vAnchor="page" w:hAnchor="margin" w:x="358" w:y="905"/>
              <w:tabs>
                <w:tab w:val="left" w:pos="2722"/>
              </w:tabs>
              <w:rPr>
                <w:szCs w:val="24"/>
              </w:rPr>
            </w:pPr>
            <w:r w:rsidRPr="00E94324">
              <w:rPr>
                <w:szCs w:val="24"/>
              </w:rPr>
              <w:t>«</w:t>
            </w:r>
            <w:r w:rsidR="00E94324" w:rsidRPr="00E94324">
              <w:rPr>
                <w:szCs w:val="24"/>
              </w:rPr>
              <w:t>21</w:t>
            </w:r>
            <w:r w:rsidR="00AF5515" w:rsidRPr="00E94324">
              <w:rPr>
                <w:szCs w:val="24"/>
              </w:rPr>
              <w:t xml:space="preserve">» </w:t>
            </w:r>
            <w:r w:rsidR="00E94324" w:rsidRPr="00E94324">
              <w:rPr>
                <w:szCs w:val="24"/>
              </w:rPr>
              <w:t xml:space="preserve">июня </w:t>
            </w:r>
            <w:r w:rsidR="00F115D7" w:rsidRPr="00E94324">
              <w:rPr>
                <w:szCs w:val="24"/>
              </w:rPr>
              <w:t>202</w:t>
            </w:r>
            <w:r w:rsidR="0027588B" w:rsidRPr="00E94324">
              <w:rPr>
                <w:szCs w:val="24"/>
              </w:rPr>
              <w:t>3</w:t>
            </w:r>
            <w:r w:rsidR="00781DD6" w:rsidRPr="00E94324">
              <w:rPr>
                <w:szCs w:val="24"/>
              </w:rPr>
              <w:t xml:space="preserve"> </w:t>
            </w:r>
            <w:r w:rsidR="00AD7AEA" w:rsidRPr="00E94324">
              <w:rPr>
                <w:szCs w:val="24"/>
              </w:rPr>
              <w:t>г.</w:t>
            </w:r>
            <w:r w:rsidR="00AD7AEA" w:rsidRPr="00E94324">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bookmarkStart w:id="0" w:name="_GoBack"/>
      <w:bookmarkEnd w:id="0"/>
    </w:p>
    <w:p w:rsidR="00F04A45" w:rsidRDefault="00F04A45" w:rsidP="00F04A45">
      <w:pPr>
        <w:ind w:left="360"/>
        <w:rPr>
          <w:sz w:val="28"/>
          <w:szCs w:val="28"/>
        </w:rPr>
      </w:pPr>
    </w:p>
    <w:p w:rsidR="00A66711" w:rsidRDefault="00A66711" w:rsidP="00F04A45">
      <w:pPr>
        <w:ind w:left="360"/>
        <w:rPr>
          <w:sz w:val="28"/>
          <w:szCs w:val="28"/>
        </w:rPr>
      </w:pPr>
    </w:p>
    <w:p w:rsidR="00A66711" w:rsidRDefault="00A66711" w:rsidP="00F04A45">
      <w:pPr>
        <w:ind w:left="360"/>
        <w:rPr>
          <w:sz w:val="28"/>
          <w:szCs w:val="28"/>
        </w:rPr>
      </w:pPr>
    </w:p>
    <w:p w:rsidR="00A66711" w:rsidRDefault="00A66711" w:rsidP="00F04A45">
      <w:pPr>
        <w:ind w:left="360"/>
        <w:rPr>
          <w:sz w:val="28"/>
          <w:szCs w:val="28"/>
        </w:rPr>
      </w:pPr>
    </w:p>
    <w:p w:rsidR="00A66711" w:rsidRDefault="00A66711" w:rsidP="00F04A45">
      <w:pPr>
        <w:ind w:left="360"/>
        <w:rPr>
          <w:sz w:val="28"/>
          <w:szCs w:val="28"/>
        </w:rPr>
      </w:pPr>
    </w:p>
    <w:p w:rsidR="00A66711" w:rsidRPr="006D7089" w:rsidRDefault="00A66711" w:rsidP="00F04A45">
      <w:pPr>
        <w:ind w:left="360"/>
        <w:rPr>
          <w:sz w:val="28"/>
          <w:szCs w:val="28"/>
        </w:rPr>
      </w:pPr>
    </w:p>
    <w:p w:rsidR="00F04A45" w:rsidRPr="00207827" w:rsidRDefault="00F04A45" w:rsidP="00F04A45">
      <w:pPr>
        <w:ind w:left="360"/>
        <w:rPr>
          <w:sz w:val="28"/>
          <w:szCs w:val="28"/>
        </w:rPr>
      </w:pPr>
    </w:p>
    <w:p w:rsidR="00F04A45" w:rsidRPr="00207827" w:rsidRDefault="00F04A45" w:rsidP="00F04A45">
      <w:pPr>
        <w:ind w:left="360"/>
        <w:rPr>
          <w:sz w:val="28"/>
          <w:szCs w:val="28"/>
        </w:rPr>
      </w:pPr>
    </w:p>
    <w:p w:rsidR="00F04A45" w:rsidRPr="006D7089" w:rsidRDefault="00F04A45" w:rsidP="00F04A45">
      <w:pPr>
        <w:ind w:left="360"/>
        <w:rPr>
          <w:sz w:val="28"/>
          <w:szCs w:val="28"/>
        </w:rPr>
      </w:pPr>
    </w:p>
    <w:p w:rsidR="00F04A45" w:rsidRPr="00207827" w:rsidRDefault="00F04A45" w:rsidP="00F04A45">
      <w:pPr>
        <w:ind w:left="360"/>
        <w:rPr>
          <w:sz w:val="28"/>
          <w:szCs w:val="28"/>
        </w:rPr>
      </w:pPr>
    </w:p>
    <w:p w:rsidR="00F04A45" w:rsidRPr="00207827" w:rsidRDefault="00F04A45" w:rsidP="00F04A45">
      <w:pPr>
        <w:ind w:left="360"/>
        <w:rPr>
          <w:sz w:val="28"/>
          <w:szCs w:val="28"/>
        </w:rPr>
      </w:pPr>
    </w:p>
    <w:p w:rsidR="00F04A45" w:rsidRDefault="00F04A45" w:rsidP="00F04A45">
      <w:pPr>
        <w:jc w:val="center"/>
        <w:rPr>
          <w:b/>
          <w:bCs/>
          <w:sz w:val="34"/>
          <w:szCs w:val="34"/>
        </w:rPr>
      </w:pPr>
      <w:r w:rsidRPr="00207827">
        <w:rPr>
          <w:b/>
          <w:bCs/>
          <w:sz w:val="34"/>
          <w:szCs w:val="34"/>
        </w:rPr>
        <w:t>ПРАВИЛА</w:t>
      </w:r>
    </w:p>
    <w:p w:rsidR="00F04A45" w:rsidRDefault="00F04A45" w:rsidP="00F04A45">
      <w:pPr>
        <w:jc w:val="center"/>
        <w:rPr>
          <w:b/>
          <w:bCs/>
          <w:sz w:val="32"/>
          <w:szCs w:val="32"/>
        </w:rPr>
      </w:pPr>
      <w:r w:rsidRPr="00287F00">
        <w:rPr>
          <w:b/>
          <w:bCs/>
          <w:sz w:val="32"/>
          <w:szCs w:val="32"/>
        </w:rPr>
        <w:t>определения стоимости чистых активов</w:t>
      </w:r>
    </w:p>
    <w:p w:rsidR="00484282" w:rsidRPr="00B602F2" w:rsidRDefault="005865B4" w:rsidP="00F04A45">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sidRPr="00B77EF9">
        <w:rPr>
          <w:b/>
          <w:bCs/>
          <w:sz w:val="32"/>
          <w:szCs w:val="32"/>
        </w:rPr>
        <w:t>ИнтеллектФонд</w:t>
      </w:r>
      <w:r w:rsidRPr="00B602F2">
        <w:rPr>
          <w:b/>
          <w:bCs/>
          <w:sz w:val="32"/>
          <w:szCs w:val="32"/>
        </w:rPr>
        <w:t>»</w:t>
      </w: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5865B4" w:rsidRPr="000623D8">
        <w:rPr>
          <w:rFonts w:ascii="Times New Roman" w:hAnsi="Times New Roman"/>
          <w:sz w:val="24"/>
          <w:szCs w:val="24"/>
        </w:rPr>
        <w:t>Открытого паевого инвестиционного фонда ры</w:t>
      </w:r>
      <w:r w:rsidR="005865B4">
        <w:rPr>
          <w:rFonts w:ascii="Times New Roman" w:hAnsi="Times New Roman"/>
          <w:sz w:val="24"/>
          <w:szCs w:val="24"/>
        </w:rPr>
        <w:t xml:space="preserve">ночных финансовых инструментов </w:t>
      </w:r>
      <w:r w:rsidR="005865B4" w:rsidRPr="000623D8">
        <w:rPr>
          <w:rFonts w:ascii="Times New Roman" w:hAnsi="Times New Roman"/>
          <w:sz w:val="24"/>
          <w:szCs w:val="24"/>
        </w:rPr>
        <w:t>«ИнтеллектФонд»</w:t>
      </w:r>
      <w:r w:rsidR="005865B4" w:rsidRPr="000623D8" w:rsidDel="00337DBE">
        <w:rPr>
          <w:rFonts w:ascii="Times New Roman" w:hAnsi="Times New Roman"/>
          <w:sz w:val="24"/>
          <w:szCs w:val="24"/>
        </w:rPr>
        <w:t xml:space="preserve"> </w:t>
      </w:r>
      <w:r w:rsidR="005865B4" w:rsidRPr="000623D8">
        <w:rPr>
          <w:rFonts w:ascii="Times New Roman" w:hAnsi="Times New Roman"/>
          <w:sz w:val="24"/>
          <w:szCs w:val="24"/>
        </w:rPr>
        <w:t xml:space="preserve">под управлением </w:t>
      </w:r>
      <w:r w:rsidR="005865B4">
        <w:rPr>
          <w:rFonts w:ascii="Times New Roman" w:hAnsi="Times New Roman"/>
          <w:sz w:val="24"/>
          <w:szCs w:val="24"/>
        </w:rPr>
        <w:t>Акционерного о</w:t>
      </w:r>
      <w:r w:rsidR="005865B4" w:rsidRPr="000623D8">
        <w:rPr>
          <w:rFonts w:ascii="Times New Roman" w:hAnsi="Times New Roman"/>
          <w:sz w:val="24"/>
          <w:szCs w:val="24"/>
        </w:rPr>
        <w:t>бщества «РЕГИОН Траст»</w:t>
      </w:r>
      <w:r w:rsidR="00E67D84"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w:t>
      </w:r>
      <w:r w:rsidR="00E30059">
        <w:rPr>
          <w:rFonts w:ascii="Times New Roman" w:hAnsi="Times New Roman"/>
          <w:sz w:val="24"/>
          <w:szCs w:val="24"/>
        </w:rPr>
        <w:t xml:space="preserve">ерации от 25 августа 2015 года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E94324" w:rsidRPr="00E94324">
        <w:t xml:space="preserve">июля </w:t>
      </w:r>
      <w:r w:rsidR="0042481A" w:rsidRPr="00E94324">
        <w:t>20</w:t>
      </w:r>
      <w:r w:rsidR="00EC149B" w:rsidRPr="00E94324">
        <w:t>2</w:t>
      </w:r>
      <w:r w:rsidR="0027588B" w:rsidRPr="00E94324">
        <w:t>3</w:t>
      </w:r>
      <w:r w:rsidR="006B6937" w:rsidRPr="00E94324">
        <w:t xml:space="preserve"> </w:t>
      </w:r>
      <w:r w:rsidR="0042481A" w:rsidRPr="00E94324">
        <w:t>г.</w:t>
      </w:r>
      <w:r w:rsidRPr="00E94324">
        <w:t xml:space="preserve"> </w:t>
      </w:r>
    </w:p>
    <w:p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32.45pt" o:ole="">
            <v:imagedata r:id="rId9" o:title=""/>
          </v:shape>
          <o:OLEObject Type="Embed" ProgID="Equation.3" ShapeID="_x0000_i1025" DrawAspect="Content" ObjectID="_1748870258"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85pt;height:17.1pt" o:ole="">
            <v:imagedata r:id="rId11" o:title=""/>
          </v:shape>
          <o:OLEObject Type="Embed" ProgID="Equation.3" ShapeID="_x0000_i1026" DrawAspect="Content" ObjectID="_1748870259"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1.8pt;height:11.8pt" o:ole="">
            <v:imagedata r:id="rId13" o:title=""/>
          </v:shape>
          <o:OLEObject Type="Embed" ProgID="Equation.3" ShapeID="_x0000_i1027" DrawAspect="Content" ObjectID="_1748870260"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20.65pt" o:ole="">
            <v:imagedata r:id="rId15" o:title=""/>
          </v:shape>
          <o:OLEObject Type="Embed" ProgID="Equation.3" ShapeID="_x0000_i1028" DrawAspect="Content" ObjectID="_1748870261"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1.8pt;height:20.65pt" o:ole="">
            <v:imagedata r:id="rId17" o:title=""/>
          </v:shape>
          <o:OLEObject Type="Embed" ProgID="Equation.3" ShapeID="_x0000_i1029" DrawAspect="Content" ObjectID="_1748870262"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4pt;height:47.8pt" o:ole="">
            <v:imagedata r:id="rId19" o:title=""/>
          </v:shape>
          <o:OLEObject Type="Embed" ProgID="Equation.3" ShapeID="_x0000_i1030" DrawAspect="Content" ObjectID="_1748870263"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7.8pt;height:18.3pt" o:ole="">
            <v:imagedata r:id="rId21" o:title=""/>
          </v:shape>
          <o:OLEObject Type="Embed" ProgID="Equation.3" ShapeID="_x0000_i1031" DrawAspect="Content" ObjectID="_1748870264"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6pt;height:18.3pt" o:ole="">
            <v:imagedata r:id="rId23" o:title=""/>
          </v:shape>
          <o:OLEObject Type="Embed" ProgID="Equation.3" ShapeID="_x0000_i1032" DrawAspect="Content" ObjectID="_1748870265"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85pt;height:8.85pt" o:ole="">
            <v:imagedata r:id="rId25" o:title=""/>
          </v:shape>
          <o:OLEObject Type="Embed" ProgID="Equation.3" ShapeID="_x0000_i1033" DrawAspect="Content" ObjectID="_1748870266"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6pt;height:20.65pt" o:ole="">
            <v:imagedata r:id="rId27" o:title=""/>
          </v:shape>
          <o:OLEObject Type="Embed" ProgID="Equation.3" ShapeID="_x0000_i1034" DrawAspect="Content" ObjectID="_1748870267"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6pt;height:23.6pt" o:ole="">
            <v:imagedata r:id="rId29" o:title=""/>
          </v:shape>
          <o:OLEObject Type="Embed" ProgID="Equation.3" ShapeID="_x0000_i1035" DrawAspect="Content" ObjectID="_1748870268"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5pt;height:20.65pt" o:ole="">
            <v:imagedata r:id="rId31" o:title=""/>
          </v:shape>
          <o:OLEObject Type="Embed" ProgID="Equation.3" ShapeID="_x0000_i1036" DrawAspect="Content" ObjectID="_1748870269"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6.05pt;height:32.45pt" o:ole="">
                  <v:imagedata r:id="rId33" o:title=""/>
                </v:shape>
                <o:OLEObject Type="Embed" ProgID="Equation.3" ShapeID="_x0000_i1038" DrawAspect="Content" ObjectID="_1748870270"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1.8pt;height:20.65pt" o:ole="">
            <v:imagedata r:id="rId35" o:title=""/>
          </v:shape>
          <o:OLEObject Type="Embed" ProgID="Equation.3" ShapeID="_x0000_i1039" DrawAspect="Content" ObjectID="_1748870271"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20.65pt" o:ole="">
            <v:imagedata r:id="rId37" o:title=""/>
          </v:shape>
          <o:OLEObject Type="Embed" ProgID="Equation.3" ShapeID="_x0000_i1040" DrawAspect="Content" ObjectID="_1748870272"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19.55pt;height:51.35pt" o:ole="">
            <v:imagedata r:id="rId39" o:title=""/>
          </v:shape>
          <o:OLEObject Type="Embed" ProgID="Equation.3" ShapeID="_x0000_i1041" DrawAspect="Content" ObjectID="_1748870273"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5pt;height:20.65pt" o:ole="">
            <v:imagedata r:id="rId41" o:title=""/>
          </v:shape>
          <o:OLEObject Type="Embed" ProgID="Equation.3" ShapeID="_x0000_i1042" DrawAspect="Content" ObjectID="_1748870274"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1.8pt;height:20.65pt" o:ole="">
            <v:imagedata r:id="rId43" o:title=""/>
          </v:shape>
          <o:OLEObject Type="Embed" ProgID="Equation.3" ShapeID="_x0000_i1043" DrawAspect="Content" ObjectID="_1748870275"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1.8pt;height:11.8pt" o:ole="">
            <v:imagedata r:id="rId13" o:title=""/>
          </v:shape>
          <o:OLEObject Type="Embed" ProgID="Equation.3" ShapeID="_x0000_i1044" DrawAspect="Content" ObjectID="_1748870276"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1.8pt;height:20.65pt" o:ole="">
            <v:imagedata r:id="rId46" o:title=""/>
          </v:shape>
          <o:OLEObject Type="Embed" ProgID="Equation.3" ShapeID="_x0000_i1045" DrawAspect="Content" ObjectID="_1748870277"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1.8pt;height:20.65pt" o:ole="">
            <v:imagedata r:id="rId43" o:title=""/>
          </v:shape>
          <o:OLEObject Type="Embed" ProgID="Equation.3" ShapeID="_x0000_i1046" DrawAspect="Content" ObjectID="_1748870278"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1.8pt;height:20.65pt" o:ole="">
            <v:imagedata r:id="rId46" o:title=""/>
          </v:shape>
          <o:OLEObject Type="Embed" ProgID="Equation.3" ShapeID="_x0000_i1047" DrawAspect="Content" ObjectID="_1748870279"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1.8pt;height:20.65pt" o:ole="">
            <v:imagedata r:id="rId43" o:title=""/>
          </v:shape>
          <o:OLEObject Type="Embed" ProgID="Equation.3" ShapeID="_x0000_i1048" DrawAspect="Content" ObjectID="_1748870280"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29.5pt;height:20.65pt" o:ole="">
            <v:imagedata r:id="rId51" o:title=""/>
          </v:shape>
          <o:OLEObject Type="Embed" ProgID="Equation.3" ShapeID="_x0000_i1049" DrawAspect="Content" ObjectID="_1748870281"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5.95pt" o:ole="">
            <v:imagedata r:id="rId53" o:title=""/>
          </v:shape>
          <o:OLEObject Type="Embed" ProgID="Equation.3" ShapeID="_x0000_i1050" DrawAspect="Content" ObjectID="_1748870282"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1.8pt;height:20.65pt" o:ole="">
            <v:imagedata r:id="rId43" o:title=""/>
          </v:shape>
          <o:OLEObject Type="Embed" ProgID="Equation.3" ShapeID="_x0000_i1051" DrawAspect="Content" ObjectID="_1748870283"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05pt;height:130.45pt" o:ole="">
            <v:imagedata r:id="rId56" o:title=""/>
          </v:shape>
          <o:OLEObject Type="Embed" ProgID="Equation.3" ShapeID="_x0000_i1052" DrawAspect="Content" ObjectID="_1748870284"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15pt;height:20.65pt" o:ole="">
            <v:imagedata r:id="rId58" o:title=""/>
          </v:shape>
          <o:OLEObject Type="Embed" ProgID="Equation.3" ShapeID="_x0000_i1053" DrawAspect="Content" ObjectID="_1748870285"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6pt;height:20.65pt" o:ole="">
            <v:imagedata r:id="rId60" o:title=""/>
          </v:shape>
          <o:OLEObject Type="Embed" ProgID="Equation.3" ShapeID="_x0000_i1054" DrawAspect="Content" ObjectID="_1748870286"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29.5pt;height:32.45pt" o:ole="">
            <v:imagedata r:id="rId62" o:title=""/>
          </v:shape>
          <o:OLEObject Type="Embed" ProgID="Equation.3" ShapeID="_x0000_i1055" DrawAspect="Content" ObjectID="_1748870287"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85pt;height:8.85pt" o:ole="">
            <v:imagedata r:id="rId25" o:title=""/>
          </v:shape>
          <o:OLEObject Type="Embed" ProgID="Equation.3" ShapeID="_x0000_i1056" DrawAspect="Content" ObjectID="_1748870288"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6pt;height:20.65pt" o:ole="">
            <v:imagedata r:id="rId27" o:title=""/>
          </v:shape>
          <o:OLEObject Type="Embed" ProgID="Equation.3" ShapeID="_x0000_i1057" DrawAspect="Content" ObjectID="_1748870289"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1.8pt;height:20.65pt" o:ole="">
            <v:imagedata r:id="rId46" o:title=""/>
          </v:shape>
          <o:OLEObject Type="Embed" ProgID="Equation.3" ShapeID="_x0000_i1058" DrawAspect="Content" ObjectID="_1748870290"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6pt;height:23.6pt" o:ole="">
            <v:imagedata r:id="rId29" o:title=""/>
          </v:shape>
          <o:OLEObject Type="Embed" ProgID="Equation.3" ShapeID="_x0000_i1059" DrawAspect="Content" ObjectID="_1748870291"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1.8pt;height:20.65pt" o:ole="">
            <v:imagedata r:id="rId46" o:title=""/>
          </v:shape>
          <o:OLEObject Type="Embed" ProgID="Equation.3" ShapeID="_x0000_i1060" DrawAspect="Content" ObjectID="_1748870292"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5pt;height:20.65pt" o:ole="">
            <v:imagedata r:id="rId31" o:title=""/>
          </v:shape>
          <o:OLEObject Type="Embed" ProgID="Equation.3" ShapeID="_x0000_i1061" DrawAspect="Content" ObjectID="_1748870293"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1.8pt;height:20.65pt" o:ole="">
            <v:imagedata r:id="rId46" o:title=""/>
          </v:shape>
          <o:OLEObject Type="Embed" ProgID="Equation.3" ShapeID="_x0000_i1062" DrawAspect="Content" ObjectID="_1748870294"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7.1pt;height:20.65pt" o:ole="">
            <v:imagedata r:id="rId71" o:title=""/>
          </v:shape>
          <o:OLEObject Type="Embed" ProgID="Equation.3" ShapeID="_x0000_i1063" DrawAspect="Content" ObjectID="_1748870295"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5pt;height:20.65pt" o:ole="">
            <v:imagedata r:id="rId31" o:title=""/>
          </v:shape>
          <o:OLEObject Type="Embed" ProgID="Equation.3" ShapeID="_x0000_i1064" DrawAspect="Content" ObjectID="_1748870296"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1.8pt;height:20.65pt" o:ole="">
            <v:imagedata r:id="rId46" o:title=""/>
          </v:shape>
          <o:OLEObject Type="Embed" ProgID="Equation.3" ShapeID="_x0000_i1065" DrawAspect="Content" ObjectID="_1748870297"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35pt;height:32.45pt" o:ole="">
            <v:imagedata r:id="rId75" o:title=""/>
          </v:shape>
          <o:OLEObject Type="Embed" ProgID="Equation.3" ShapeID="_x0000_i1066" DrawAspect="Content" ObjectID="_1748870298"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5.15pt;height:66.7pt" o:ole="">
              <v:imagedata r:id="rId77" o:title=""/>
            </v:shape>
            <o:OLEObject Type="Embed" ProgID="Equation.3" ShapeID="_x0000_i1067" DrawAspect="Content" ObjectID="_1748870299"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95pt;height:63.15pt" o:ole="">
                  <v:imagedata r:id="rId79" o:title=""/>
                </v:shape>
                <o:OLEObject Type="Embed" ProgID="Equation.3" ShapeID="_x0000_i1069" DrawAspect="Content" ObjectID="_1748870300"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1.8pt;height:20.65pt" o:ole="">
            <v:imagedata r:id="rId43" o:title=""/>
          </v:shape>
          <o:OLEObject Type="Embed" ProgID="Equation.3" ShapeID="_x0000_i1070" DrawAspect="Content" ObjectID="_1748870301"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5.95pt" o:ole="">
            <v:imagedata r:id="rId53" o:title=""/>
          </v:shape>
          <o:OLEObject Type="Embed" ProgID="Equation.3" ShapeID="_x0000_i1071" DrawAspect="Content" ObjectID="_1748870302"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информационной системы "Блумберг" (Bloomberg)</w:t>
            </w:r>
            <w:r w:rsidR="00B638A9">
              <w:rPr>
                <w:bCs/>
                <w:sz w:val="22"/>
                <w:szCs w:val="22"/>
              </w:rPr>
              <w:t xml:space="preserve">, информационной системы </w:t>
            </w:r>
            <w:r w:rsidR="00B638A9">
              <w:rPr>
                <w:bCs/>
                <w:sz w:val="22"/>
                <w:szCs w:val="22"/>
                <w:lang w:val="en-US"/>
              </w:rPr>
              <w:t>C</w:t>
            </w:r>
            <w:r w:rsidR="00B638A9" w:rsidRPr="00B638A9">
              <w:rPr>
                <w:bCs/>
                <w:sz w:val="22"/>
                <w:szCs w:val="22"/>
              </w:rPr>
              <w:t>bonds</w:t>
            </w:r>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3F3BB4"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3F3BB4"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3F3BB4"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3F3BB4"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3F3BB4"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3F3BB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3F3BB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3F3BB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3F3BB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3F3BB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3F3BB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3F3BB4"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3F3BB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3F3BB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3F3BB4"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3F3BB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3F3BB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3F3BB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3F3BB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3F3BB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3F3BB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A52D50" w:rsidRDefault="00A52D50" w:rsidP="001C2B7D">
      <w:pPr>
        <w:spacing w:before="120" w:after="240"/>
        <w:contextualSpacing/>
        <w:jc w:val="both"/>
        <w:rPr>
          <w:b/>
          <w:bCs/>
          <w:color w:val="000000"/>
          <w:szCs w:val="24"/>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rsidR="000B1B07" w:rsidRDefault="000B1B07" w:rsidP="0072342E">
      <w:pPr>
        <w:spacing w:before="120"/>
        <w:ind w:left="720"/>
        <w:contextualSpacing/>
        <w:jc w:val="both"/>
        <w:rPr>
          <w:rFonts w:eastAsia="Calibri"/>
          <w:szCs w:val="24"/>
          <w:lang w:eastAsia="en-US"/>
        </w:rPr>
      </w:pPr>
    </w:p>
    <w:p w:rsidR="00D7733C" w:rsidRPr="00D817A7" w:rsidRDefault="009E59DD" w:rsidP="00E94324">
      <w:pPr>
        <w:spacing w:before="120"/>
        <w:ind w:left="360"/>
        <w:contextualSpacing/>
        <w:jc w:val="both"/>
        <w:rPr>
          <w:rFonts w:eastAsia="Calibri"/>
          <w:szCs w:val="24"/>
        </w:rPr>
      </w:pPr>
      <w:r>
        <w:rPr>
          <w:bCs/>
          <w:color w:val="000000"/>
          <w:szCs w:val="24"/>
        </w:rPr>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3F3BB4"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3F3BB4"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3F3BB4"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FF05125" wp14:editId="1165A3E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3B6093" w:rsidRPr="00B602F2" w:rsidRDefault="003B6093" w:rsidP="0072342E">
      <w:pPr>
        <w:spacing w:before="120"/>
        <w:contextualSpacing/>
        <w:jc w:val="both"/>
        <w:rPr>
          <w:rFonts w:eastAsia="Calibri"/>
          <w:szCs w:val="24"/>
          <w:lang w:eastAsia="en-US"/>
        </w:rPr>
      </w:pP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Default="00D7733C" w:rsidP="0072342E">
      <w:pPr>
        <w:rPr>
          <w:b/>
          <w:i/>
          <w:szCs w:val="24"/>
        </w:rPr>
      </w:pPr>
      <w:r w:rsidRPr="006D7089">
        <w:rPr>
          <w:b/>
          <w:i/>
          <w:szCs w:val="24"/>
        </w:rPr>
        <w:t>Облигации, номинированные в рублях.</w:t>
      </w:r>
    </w:p>
    <w:p w:rsidR="003B6093" w:rsidRDefault="003B6093" w:rsidP="0072342E">
      <w:pPr>
        <w:rPr>
          <w:b/>
          <w:i/>
          <w:szCs w:val="24"/>
        </w:rPr>
      </w:pPr>
    </w:p>
    <w:p w:rsidR="003B6093" w:rsidRDefault="003B6093" w:rsidP="0072342E">
      <w:pPr>
        <w:rPr>
          <w:b/>
          <w:i/>
          <w:szCs w:val="24"/>
        </w:rPr>
      </w:pPr>
    </w:p>
    <w:p w:rsidR="003B6093" w:rsidRPr="006D7089" w:rsidRDefault="003B6093" w:rsidP="00B11E79">
      <w:pPr>
        <w:spacing w:before="120"/>
        <w:ind w:left="7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p>
    <w:p w:rsidR="00E201F4" w:rsidRPr="00B602F2" w:rsidRDefault="003B6093" w:rsidP="0072342E">
      <w:pPr>
        <w:ind w:firstLine="426"/>
        <w:jc w:val="both"/>
        <w:rPr>
          <w:b/>
          <w:szCs w:val="24"/>
        </w:rPr>
      </w:pPr>
      <w:r>
        <w:rPr>
          <w:szCs w:val="24"/>
        </w:rPr>
        <w:t>- Цена, определенная</w:t>
      </w:r>
      <w:r w:rsidR="00E201F4" w:rsidRPr="00B602F2">
        <w:rPr>
          <w:szCs w:val="24"/>
        </w:rPr>
        <w:t xml:space="preserve"> </w:t>
      </w:r>
      <w:r w:rsidR="00D33BC1">
        <w:rPr>
          <w:szCs w:val="24"/>
        </w:rPr>
        <w:t xml:space="preserve">методом </w:t>
      </w:r>
      <w:r w:rsidR="00E201F4" w:rsidRPr="00B602F2">
        <w:rPr>
          <w:szCs w:val="24"/>
        </w:rPr>
        <w:t>дисконтирования стоимости будущих</w:t>
      </w:r>
      <w:r w:rsidR="00D33BC1">
        <w:rPr>
          <w:szCs w:val="24"/>
        </w:rPr>
        <w:t>потоков</w:t>
      </w:r>
      <w:r w:rsidR="00E201F4" w:rsidRPr="00B602F2">
        <w:rPr>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6pt;height:34.8pt" o:ole="">
            <v:imagedata r:id="rId84" o:title=""/>
          </v:shape>
          <o:OLEObject Type="Embed" ProgID="Equation.3" ShapeID="_x0000_i1072" DrawAspect="Content" ObjectID="_1748870303"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Pr="008434DB" w:rsidRDefault="003F3BB4" w:rsidP="00887662">
      <w:pPr>
        <w:rPr>
          <w:color w:val="1F497D"/>
        </w:rPr>
      </w:pPr>
      <w:hyperlink r:id="rId86" w:history="1">
        <w:r w:rsidR="00887662" w:rsidRPr="008434DB">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Default="00D6688D" w:rsidP="0072342E">
      <w:pPr>
        <w:spacing w:after="120"/>
        <w:ind w:firstLine="426"/>
        <w:jc w:val="both"/>
        <w:rPr>
          <w:szCs w:val="24"/>
        </w:rPr>
      </w:pPr>
    </w:p>
    <w:p w:rsidR="00E201F4" w:rsidRPr="00B602F2" w:rsidRDefault="00E201F4" w:rsidP="0072342E">
      <w:pPr>
        <w:spacing w:after="120"/>
        <w:rPr>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3F3BB4"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3F3BB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3F3BB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3F3BB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3F3BB4"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3F3BB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3F3BB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3F3BB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3F3BB4"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3F3BB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3F3BB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3F3BB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tabs>
          <w:tab w:val="left" w:pos="567"/>
        </w:tabs>
        <w:spacing w:line="312" w:lineRule="auto"/>
        <w:jc w:val="both"/>
        <w:rPr>
          <w:rFonts w:eastAsia="Calibri"/>
          <w:b/>
          <w:szCs w:val="24"/>
          <w:u w:val="single"/>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D6688D">
      <w:pPr>
        <w:numPr>
          <w:ilvl w:val="0"/>
          <w:numId w:val="243"/>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3F3BB4"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3F3BB4"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3F3BB4"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3F3BB4"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D6688D">
      <w:pPr>
        <w:numPr>
          <w:ilvl w:val="0"/>
          <w:numId w:val="243"/>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3F3BB4"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3F3BB4"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3F3BB4"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3F3BB4"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D6688D">
      <w:pPr>
        <w:pStyle w:val="a5"/>
        <w:numPr>
          <w:ilvl w:val="0"/>
          <w:numId w:val="243"/>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3F3BB4"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D6688D">
      <w:pPr>
        <w:numPr>
          <w:ilvl w:val="0"/>
          <w:numId w:val="245"/>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3F3BB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3F3BB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3F3BB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3F3BB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3F3BB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3F3BB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contextualSpacing/>
        <w:jc w:val="both"/>
        <w:rPr>
          <w:rFonts w:eastAsia="Calibri"/>
          <w:szCs w:val="24"/>
        </w:rPr>
      </w:pPr>
    </w:p>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E201F4" w:rsidRPr="00207827" w:rsidRDefault="00D6688D" w:rsidP="0072342E">
      <w:pPr>
        <w:rPr>
          <w:b/>
          <w:szCs w:val="24"/>
          <w:u w:val="single"/>
        </w:rPr>
      </w:pPr>
      <w:r w:rsidRPr="00C02C98">
        <w:rPr>
          <w:rFonts w:eastAsia="Calibri"/>
          <w:szCs w:val="24"/>
        </w:rPr>
        <w:br w:type="page"/>
      </w:r>
    </w:p>
    <w:p w:rsidR="00E201F4"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3B6093" w:rsidRDefault="003B6093" w:rsidP="0072342E">
      <w:pPr>
        <w:rPr>
          <w:b/>
          <w:i/>
          <w:szCs w:val="24"/>
        </w:rPr>
      </w:pPr>
    </w:p>
    <w:p w:rsidR="003B6093" w:rsidRPr="007F610B" w:rsidRDefault="003B6093" w:rsidP="0072342E">
      <w:pPr>
        <w:rPr>
          <w:b/>
          <w:i/>
          <w:szCs w:val="24"/>
        </w:rPr>
      </w:pPr>
    </w:p>
    <w:p w:rsidR="0002540C"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xml:space="preserve">), при этом «страной риска» заемщика является Россия, справедливая стоимость определяется согласно </w:t>
      </w:r>
      <w:r w:rsidR="0002540C">
        <w:rPr>
          <w:szCs w:val="24"/>
        </w:rPr>
        <w:t>следующему приоритету:</w:t>
      </w:r>
    </w:p>
    <w:p w:rsidR="0002540C" w:rsidRDefault="0002540C" w:rsidP="0072342E">
      <w:pPr>
        <w:ind w:firstLine="426"/>
        <w:jc w:val="both"/>
        <w:rPr>
          <w:szCs w:val="24"/>
        </w:rPr>
      </w:pPr>
    </w:p>
    <w:p w:rsidR="0002540C" w:rsidRPr="006D7089" w:rsidRDefault="004B69F0" w:rsidP="00B11E79">
      <w:pPr>
        <w:spacing w:before="120"/>
        <w:contextualSpacing/>
        <w:jc w:val="both"/>
        <w:rPr>
          <w:b/>
          <w:i/>
          <w:szCs w:val="24"/>
        </w:rPr>
      </w:pPr>
      <w:r>
        <w:rPr>
          <w:rFonts w:eastAsia="Calibri"/>
          <w:szCs w:val="24"/>
          <w:lang w:eastAsia="en-US"/>
        </w:rPr>
        <w:t xml:space="preserve">1. </w:t>
      </w:r>
      <w:r w:rsidR="0002540C"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w:t>
      </w:r>
      <w:r w:rsidR="0002540C" w:rsidRPr="00280116">
        <w:rPr>
          <w:rFonts w:eastAsia="Calibri"/>
          <w:szCs w:val="24"/>
          <w:lang w:eastAsia="en-US"/>
        </w:rPr>
        <w:t>, рассчитанная по  методам оценки, основанных на  исходных данных 3-го уровня иерархии  в соответствии с МСФО13 (</w:t>
      </w:r>
      <w:r w:rsidR="0002540C">
        <w:t>метод индексного дисконтированного денежного потока</w:t>
      </w:r>
      <w:r w:rsidR="009B5765">
        <w:t xml:space="preserve"> и др. методы</w:t>
      </w:r>
      <w:r w:rsidR="0002540C">
        <w:t>)</w:t>
      </w:r>
    </w:p>
    <w:p w:rsidR="0002540C" w:rsidRPr="007F610B" w:rsidRDefault="0002540C" w:rsidP="0002540C">
      <w:pPr>
        <w:rPr>
          <w:b/>
          <w:i/>
          <w:szCs w:val="24"/>
        </w:rPr>
      </w:pPr>
    </w:p>
    <w:p w:rsidR="0002540C" w:rsidRDefault="0002540C" w:rsidP="0072342E">
      <w:pPr>
        <w:ind w:firstLine="426"/>
        <w:jc w:val="both"/>
        <w:rPr>
          <w:szCs w:val="24"/>
        </w:rPr>
      </w:pPr>
    </w:p>
    <w:p w:rsidR="00AF1D7D" w:rsidRDefault="004B69F0" w:rsidP="00E94324">
      <w:pPr>
        <w:jc w:val="both"/>
        <w:rPr>
          <w:szCs w:val="24"/>
        </w:rPr>
      </w:pPr>
      <w:r>
        <w:rPr>
          <w:szCs w:val="24"/>
        </w:rPr>
        <w:t xml:space="preserve">2. </w:t>
      </w:r>
      <w:r w:rsidR="0002540C">
        <w:rPr>
          <w:szCs w:val="24"/>
        </w:rPr>
        <w:t xml:space="preserve">Цена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В соответствии с настоящей моделью расчетная цена (цены) долговой ценной бумаги, номинированной в иностранной валюте, определяется методом приведенной стоимости будущих денежных потоков 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3F3BB4"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3F3BB4"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3F3BB4"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3F3BB4"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3F3BB4"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3F3BB4"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3F3BB4"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3F3BB4"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1"/>
          <w:numId w:val="240"/>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AF1D7D">
      <w:pPr>
        <w:numPr>
          <w:ilvl w:val="0"/>
          <w:numId w:val="238"/>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D33BC1">
        <w:rPr>
          <w:rFonts w:eastAsia="Calibri"/>
        </w:rPr>
        <w:t>( 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rsidR="00ED16C2" w:rsidRPr="00B602F2"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3F3BB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3F3BB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3F3BB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3F3BB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3F3BB4"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3F3BB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3F3BB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3F3BB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9732EC">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A52D50" w:rsidRDefault="00A52D50" w:rsidP="001C2B7D">
      <w:pPr>
        <w:pStyle w:val="11"/>
        <w:tabs>
          <w:tab w:val="left" w:pos="993"/>
        </w:tabs>
        <w:ind w:left="0"/>
        <w:jc w:val="both"/>
        <w:rPr>
          <w:b/>
          <w:szCs w:val="24"/>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3F3BB4"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3F3BB4"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3F3BB4"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3F3BB4"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3F3BB4"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3F3BB4"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3F3BB4"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3F3BB4"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3F3BB4"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3F3BB4"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3F3BB4"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3F3BB4"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3F3BB4"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3F3BB4"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3F3BB4"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r w:rsidR="004B69F0">
        <w:rPr>
          <w:b/>
          <w:szCs w:val="24"/>
        </w:rPr>
        <w:t>(</w:t>
      </w:r>
      <w:r w:rsidR="004B69F0">
        <w:rPr>
          <w:color w:val="1F497D"/>
        </w:rPr>
        <w:t>Значение срока ставки определяется до 4 знаков после запятой)</w:t>
      </w:r>
      <w:r w:rsidRPr="005A6C5B">
        <w:rPr>
          <w:b/>
          <w:szCs w:val="24"/>
        </w:rPr>
        <w:t>:</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2417B2" w:rsidRDefault="002417B2" w:rsidP="002417B2">
      <w:pPr>
        <w:jc w:val="both"/>
        <w:rPr>
          <w:szCs w:val="24"/>
        </w:rPr>
      </w:pPr>
    </w:p>
    <w:p w:rsidR="002417B2" w:rsidRDefault="002417B2" w:rsidP="002417B2">
      <w:pPr>
        <w:jc w:val="both"/>
        <w:rPr>
          <w:szCs w:val="24"/>
        </w:rPr>
      </w:pPr>
    </w:p>
    <w:p w:rsidR="002417B2" w:rsidRDefault="002417B2" w:rsidP="002417B2">
      <w:pPr>
        <w:jc w:val="both"/>
        <w:rPr>
          <w:szCs w:val="24"/>
        </w:rPr>
      </w:pPr>
    </w:p>
    <w:p w:rsidR="002417B2" w:rsidRPr="002417B2" w:rsidRDefault="002417B2" w:rsidP="002417B2">
      <w:pPr>
        <w:jc w:val="both"/>
        <w:rPr>
          <w:szCs w:val="24"/>
        </w:rPr>
      </w:pP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3F3BB4"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3F3BB4"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2417B2" w:rsidRDefault="002417B2" w:rsidP="001C2B7D">
      <w:pPr>
        <w:rPr>
          <w:szCs w:val="24"/>
        </w:rPr>
      </w:pPr>
    </w:p>
    <w:p w:rsidR="002417B2" w:rsidRDefault="002417B2" w:rsidP="001C2B7D">
      <w:pPr>
        <w:rPr>
          <w:szCs w:val="24"/>
        </w:rPr>
      </w:pPr>
    </w:p>
    <w:p w:rsidR="002417B2" w:rsidRPr="00242A29" w:rsidRDefault="002417B2" w:rsidP="001C2B7D">
      <w:pPr>
        <w:rPr>
          <w:szCs w:val="24"/>
        </w:rPr>
      </w:pP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2040D9">
            <w:pPr>
              <w:ind w:left="268"/>
              <w:jc w:val="center"/>
              <w:rPr>
                <w:color w:val="000000"/>
              </w:rPr>
            </w:pPr>
            <w:r>
              <w:t>25 рабочих</w:t>
            </w:r>
            <w:r w:rsidRPr="00DA7256">
              <w:t xml:space="preserve">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2040D9" w:rsidRDefault="002040D9" w:rsidP="00E94324">
            <w:pPr>
              <w:rPr>
                <w:color w:val="000000"/>
              </w:rPr>
            </w:pPr>
            <w:r w:rsidRPr="002040D9">
              <w:t>9</w:t>
            </w:r>
            <w:r>
              <w:t>0 дней</w:t>
            </w:r>
          </w:p>
        </w:tc>
      </w:tr>
    </w:tbl>
    <w:p w:rsidR="002417B2" w:rsidRDefault="002417B2" w:rsidP="008045DD">
      <w:pPr>
        <w:spacing w:after="52"/>
        <w:ind w:right="54"/>
        <w:jc w:val="both"/>
        <w:rPr>
          <w:b/>
          <w:color w:val="000000"/>
          <w:szCs w:val="24"/>
        </w:rPr>
      </w:pPr>
    </w:p>
    <w:p w:rsidR="002417B2" w:rsidRDefault="002417B2" w:rsidP="008045DD">
      <w:pPr>
        <w:spacing w:after="52"/>
        <w:ind w:right="54"/>
        <w:jc w:val="both"/>
        <w:rPr>
          <w:b/>
          <w:color w:val="000000"/>
          <w:szCs w:val="24"/>
        </w:rPr>
      </w:pPr>
    </w:p>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3F3BB4"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5865B4"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5865B4"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7"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8"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9"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0"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1"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2"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3"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4"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5"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6"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7" w:history="1">
        <w:r w:rsidRPr="001F6755">
          <w:rPr>
            <w:rFonts w:eastAsiaTheme="minorHAnsi"/>
            <w:color w:val="0000FF" w:themeColor="hyperlink"/>
            <w:szCs w:val="24"/>
            <w:u w:val="single"/>
            <w:lang w:eastAsia="en-US"/>
          </w:rPr>
          <w:t>https://bankruptcy.kommersant.ru</w:t>
        </w:r>
      </w:hyperlink>
    </w:p>
    <w:p w:rsidR="00FE530B" w:rsidRDefault="001F6755" w:rsidP="00B11E79">
      <w:pPr>
        <w:pStyle w:val="affb"/>
        <w:jc w:val="left"/>
        <w:rPr>
          <w:rFonts w:eastAsia="Calibri"/>
          <w:lang w:eastAsia="en-US"/>
        </w:rPr>
      </w:pPr>
      <w:r w:rsidRPr="001F6755">
        <w:rPr>
          <w:rFonts w:eastAsiaTheme="minorHAnsi"/>
          <w:lang w:eastAsia="en-US"/>
        </w:rPr>
        <w:br w:type="page"/>
      </w:r>
      <w:bookmarkStart w:id="45" w:name="_Toc66447217"/>
      <w:r w:rsidR="005D27E1">
        <w:t xml:space="preserve">                                                                                                                                 </w:t>
      </w:r>
      <w:bookmarkEnd w:id="45"/>
    </w:p>
    <w:p w:rsidR="00585C5E" w:rsidRDefault="003A6C53" w:rsidP="00585C5E">
      <w:pPr>
        <w:pStyle w:val="affb"/>
      </w:pPr>
      <w:bookmarkStart w:id="46" w:name="_Toc74043327"/>
      <w:r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6"/>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7" w:name="_Toc74043328"/>
      <w:r>
        <w:br w:type="page"/>
      </w:r>
    </w:p>
    <w:p w:rsidR="00585C5E" w:rsidRDefault="00AC6698" w:rsidP="00585C5E">
      <w:pPr>
        <w:pStyle w:val="affb"/>
      </w:pPr>
      <w:r w:rsidRPr="00207827">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7"/>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6F6BD1" w:rsidRDefault="006F6BD1" w:rsidP="001C2B7D">
      <w:pPr>
        <w:numPr>
          <w:ilvl w:val="0"/>
          <w:numId w:val="151"/>
        </w:numPr>
        <w:spacing w:after="76"/>
        <w:ind w:right="45" w:hanging="360"/>
        <w:jc w:val="both"/>
        <w:rPr>
          <w:color w:val="000000"/>
          <w:szCs w:val="22"/>
        </w:rPr>
        <w:sectPr w:rsidR="006F6BD1" w:rsidSect="006B6937">
          <w:footerReference w:type="default" r:id="rId98"/>
          <w:pgSz w:w="11906" w:h="16838"/>
          <w:pgMar w:top="851" w:right="1758" w:bottom="851"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8" w:name="приложение_5"/>
      <w:r>
        <w:rPr>
          <w:b w:val="0"/>
        </w:rPr>
        <w:t xml:space="preserve">  </w:t>
      </w:r>
      <w:r w:rsidR="000A0776">
        <w:rPr>
          <w:b w:val="0"/>
        </w:rPr>
        <w:t xml:space="preserve">                               </w:t>
      </w:r>
    </w:p>
    <w:p w:rsidR="00AB5DD7" w:rsidRDefault="004A5053" w:rsidP="00CC3A0D">
      <w:pPr>
        <w:pStyle w:val="affb"/>
      </w:pPr>
      <w:r>
        <w:rPr>
          <w:b w:val="0"/>
        </w:rPr>
        <w:tab/>
      </w:r>
      <w:r>
        <w:rPr>
          <w:b w:val="0"/>
        </w:rPr>
        <w:tab/>
      </w:r>
      <w:bookmarkStart w:id="49"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9"/>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3" type="#_x0000_t75" style="width:11.8pt;height:20.05pt" o:ole="">
            <v:imagedata r:id="rId99" o:title=""/>
          </v:shape>
          <o:OLEObject Type="Embed" ProgID="Equation.3" ShapeID="_x0000_i1073" DrawAspect="Content" ObjectID="_1748870304" r:id="rId10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4" type="#_x0000_t75" style="width:15.95pt;height:20.05pt" o:ole="">
            <v:imagedata r:id="rId101" o:title=""/>
          </v:shape>
          <o:OLEObject Type="Embed" ProgID="Equation.3" ShapeID="_x0000_i1074" DrawAspect="Content" ObjectID="_1748870305" r:id="rId10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8"/>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3F3BB4"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3F3BB4"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Default="00EA72B7"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135E1E" w:rsidRDefault="00135E1E" w:rsidP="001C2B7D">
      <w:pPr>
        <w:tabs>
          <w:tab w:val="left" w:pos="993"/>
        </w:tabs>
        <w:jc w:val="both"/>
        <w:rPr>
          <w:rFonts w:eastAsia="Batang"/>
          <w:sz w:val="22"/>
        </w:rPr>
      </w:pPr>
    </w:p>
    <w:p w:rsidR="00135E1E" w:rsidRDefault="00135E1E" w:rsidP="00135E1E">
      <w:pPr>
        <w:pStyle w:val="affb"/>
      </w:pPr>
      <w:r w:rsidRPr="004A5053">
        <w:t xml:space="preserve">Приложение </w:t>
      </w:r>
      <w:r w:rsidR="004500B6">
        <w:t>9</w:t>
      </w:r>
    </w:p>
    <w:p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125"/>
        <w:gridCol w:w="1558"/>
        <w:gridCol w:w="1559"/>
        <w:gridCol w:w="1137"/>
        <w:gridCol w:w="1275"/>
        <w:gridCol w:w="1385"/>
      </w:tblGrid>
      <w:tr w:rsidR="00135E1E" w:rsidRPr="00E327C5" w:rsidTr="00833072">
        <w:trPr>
          <w:trHeight w:val="249"/>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rsidTr="00833072">
        <w:trPr>
          <w:trHeight w:val="90"/>
        </w:trPr>
        <w:tc>
          <w:tcPr>
            <w:tcW w:w="6655" w:type="dxa"/>
            <w:gridSpan w:val="4"/>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797" w:type="dxa"/>
            <w:gridSpan w:val="3"/>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rsidTr="00833072">
        <w:trPr>
          <w:trHeight w:val="109"/>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rsidTr="00833072">
        <w:trPr>
          <w:trHeight w:val="253"/>
        </w:trPr>
        <w:tc>
          <w:tcPr>
            <w:tcW w:w="1413"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5"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558"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833072">
        <w:trPr>
          <w:trHeight w:val="253"/>
        </w:trPr>
        <w:tc>
          <w:tcPr>
            <w:tcW w:w="1413"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5"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558"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833072">
        <w:trPr>
          <w:trHeight w:val="109"/>
        </w:trPr>
        <w:tc>
          <w:tcPr>
            <w:tcW w:w="1413" w:type="dxa"/>
          </w:tcPr>
          <w:p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833072">
        <w:trPr>
          <w:trHeight w:val="247"/>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833072">
        <w:trPr>
          <w:trHeight w:val="253"/>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833072">
        <w:trPr>
          <w:trHeight w:val="109"/>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rsidTr="00833072">
        <w:trPr>
          <w:trHeight w:val="247"/>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833072">
        <w:trPr>
          <w:trHeight w:val="247"/>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833072">
        <w:trPr>
          <w:trHeight w:val="247"/>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833072">
        <w:trPr>
          <w:trHeight w:val="391"/>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833072">
        <w:trPr>
          <w:trHeight w:val="109"/>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09" w:rsidRDefault="00EC6509" w:rsidP="003830AE">
      <w:r>
        <w:separator/>
      </w:r>
    </w:p>
  </w:endnote>
  <w:endnote w:type="continuationSeparator" w:id="0">
    <w:p w:rsidR="00EC6509" w:rsidRDefault="00EC6509"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1E" w:rsidRDefault="00135E1E">
    <w:pPr>
      <w:pStyle w:val="af4"/>
      <w:jc w:val="right"/>
    </w:pPr>
    <w:r>
      <w:fldChar w:fldCharType="begin"/>
    </w:r>
    <w:r>
      <w:instrText>PAGE   \* MERGEFORMAT</w:instrText>
    </w:r>
    <w:r>
      <w:fldChar w:fldCharType="separate"/>
    </w:r>
    <w:r w:rsidR="003F3BB4">
      <w:rPr>
        <w:noProof/>
      </w:rPr>
      <w:t>1</w:t>
    </w:r>
    <w:r>
      <w:fldChar w:fldCharType="end"/>
    </w:r>
  </w:p>
  <w:p w:rsidR="00135E1E" w:rsidRDefault="00135E1E">
    <w:pPr>
      <w:pStyle w:val="af4"/>
    </w:pPr>
  </w:p>
  <w:p w:rsidR="00135E1E" w:rsidRDefault="00135E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09" w:rsidRDefault="00EC6509" w:rsidP="003830AE">
      <w:r>
        <w:separator/>
      </w:r>
    </w:p>
  </w:footnote>
  <w:footnote w:type="continuationSeparator" w:id="0">
    <w:p w:rsidR="00EC6509" w:rsidRDefault="00EC6509" w:rsidP="003830AE">
      <w:r>
        <w:continuationSeparator/>
      </w:r>
    </w:p>
  </w:footnote>
  <w:footnote w:id="1">
    <w:p w:rsidR="00135E1E" w:rsidRPr="00E94324" w:rsidRDefault="00135E1E"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135E1E" w:rsidRPr="00E94324" w:rsidRDefault="00135E1E"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135E1E" w:rsidRPr="00E94324" w:rsidRDefault="00135E1E"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135E1E" w:rsidRDefault="00135E1E"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rsidR="00135E1E" w:rsidRPr="00E94324" w:rsidRDefault="00135E1E" w:rsidP="00AF1D7D">
      <w:pPr>
        <w:pStyle w:val="ad"/>
        <w:rPr>
          <w:sz w:val="16"/>
          <w:szCs w:val="16"/>
        </w:rPr>
      </w:pPr>
    </w:p>
  </w:footnote>
  <w:footnote w:id="5">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rsidR="00135E1E" w:rsidRDefault="00135E1E"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135E1E" w:rsidRDefault="00135E1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135E1E" w:rsidRPr="00934212" w:rsidRDefault="00135E1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135E1E" w:rsidRDefault="00135E1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135E1E" w:rsidRPr="00934212" w:rsidRDefault="00135E1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135E1E" w:rsidRDefault="00135E1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135E1E" w:rsidRPr="00BE449B" w:rsidRDefault="00135E1E"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135E1E" w:rsidRPr="00FC2DDA" w:rsidRDefault="00135E1E"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135E1E" w:rsidRPr="00FD4F9A" w:rsidRDefault="00135E1E"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135E1E" w:rsidRPr="00404E0B" w:rsidRDefault="00135E1E"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135E1E" w:rsidRPr="00404E0B" w:rsidRDefault="00135E1E"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135E1E" w:rsidRPr="00E2653F" w:rsidRDefault="00135E1E"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135E1E" w:rsidRPr="000C2205" w:rsidRDefault="00135E1E"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135E1E" w:rsidRDefault="00135E1E"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135E1E" w:rsidRDefault="00135E1E"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135E1E" w:rsidRPr="002F7235" w:rsidRDefault="00135E1E">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rsidR="00135E1E" w:rsidRPr="00EB4F7B" w:rsidRDefault="00135E1E"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135E1E" w:rsidRPr="001E2425" w:rsidRDefault="00135E1E"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135E1E" w:rsidRPr="001E2425" w:rsidRDefault="00135E1E"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135E1E" w:rsidRDefault="00135E1E" w:rsidP="007D0736">
      <w:pPr>
        <w:pStyle w:val="footnotedescription"/>
      </w:pPr>
      <w:r>
        <w:rPr>
          <w:rStyle w:val="footnotemark"/>
        </w:rPr>
        <w:footnoteRef/>
      </w:r>
      <w:r>
        <w:t xml:space="preserve"> Например, гостиницы, хостелы и т.п. </w:t>
      </w:r>
    </w:p>
  </w:footnote>
  <w:footnote w:id="24">
    <w:p w:rsidR="00135E1E" w:rsidRPr="00B14325" w:rsidRDefault="00135E1E"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135E1E" w:rsidRPr="00FE471A" w:rsidRDefault="00135E1E"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6E0E18"/>
    <w:multiLevelType w:val="hybridMultilevel"/>
    <w:tmpl w:val="E9620672"/>
    <w:lvl w:ilvl="0" w:tplc="7BDAE362">
      <w:start w:val="3"/>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4"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F3E6B8B"/>
    <w:multiLevelType w:val="multilevel"/>
    <w:tmpl w:val="DC5E8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5"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8"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1"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8"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1"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4"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6"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8"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2"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4"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0"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2"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8"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3"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4"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5"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6"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8"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2"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5"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8"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2"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6"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9"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21"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3"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5"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7"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9"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3"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4"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36"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9"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1"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3"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4"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7"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0"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51"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52"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3"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9"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F4D65AC"/>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5"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6"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8"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9"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70"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1"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2"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1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7"/>
  </w:num>
  <w:num w:numId="2">
    <w:abstractNumId w:val="157"/>
  </w:num>
  <w:num w:numId="3">
    <w:abstractNumId w:val="184"/>
  </w:num>
  <w:num w:numId="4">
    <w:abstractNumId w:val="4"/>
  </w:num>
  <w:num w:numId="5">
    <w:abstractNumId w:val="118"/>
  </w:num>
  <w:num w:numId="6">
    <w:abstractNumId w:val="161"/>
  </w:num>
  <w:num w:numId="7">
    <w:abstractNumId w:val="33"/>
  </w:num>
  <w:num w:numId="8">
    <w:abstractNumId w:val="209"/>
  </w:num>
  <w:num w:numId="9">
    <w:abstractNumId w:val="12"/>
  </w:num>
  <w:num w:numId="10">
    <w:abstractNumId w:val="142"/>
  </w:num>
  <w:num w:numId="11">
    <w:abstractNumId w:val="9"/>
  </w:num>
  <w:num w:numId="12">
    <w:abstractNumId w:val="17"/>
  </w:num>
  <w:num w:numId="13">
    <w:abstractNumId w:val="44"/>
  </w:num>
  <w:num w:numId="14">
    <w:abstractNumId w:val="65"/>
  </w:num>
  <w:num w:numId="15">
    <w:abstractNumId w:val="72"/>
  </w:num>
  <w:num w:numId="16">
    <w:abstractNumId w:val="199"/>
  </w:num>
  <w:num w:numId="17">
    <w:abstractNumId w:val="186"/>
  </w:num>
  <w:num w:numId="18">
    <w:abstractNumId w:val="140"/>
  </w:num>
  <w:num w:numId="19">
    <w:abstractNumId w:val="120"/>
  </w:num>
  <w:num w:numId="20">
    <w:abstractNumId w:val="125"/>
  </w:num>
  <w:num w:numId="21">
    <w:abstractNumId w:val="11"/>
  </w:num>
  <w:num w:numId="22">
    <w:abstractNumId w:val="1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144"/>
  </w:num>
  <w:num w:numId="25">
    <w:abstractNumId w:val="202"/>
  </w:num>
  <w:num w:numId="26">
    <w:abstractNumId w:val="162"/>
  </w:num>
  <w:num w:numId="27">
    <w:abstractNumId w:val="105"/>
  </w:num>
  <w:num w:numId="28">
    <w:abstractNumId w:val="82"/>
  </w:num>
  <w:num w:numId="29">
    <w:abstractNumId w:val="90"/>
  </w:num>
  <w:num w:numId="30">
    <w:abstractNumId w:val="147"/>
  </w:num>
  <w:num w:numId="31">
    <w:abstractNumId w:val="39"/>
  </w:num>
  <w:num w:numId="32">
    <w:abstractNumId w:val="5"/>
  </w:num>
  <w:num w:numId="33">
    <w:abstractNumId w:val="10"/>
  </w:num>
  <w:num w:numId="34">
    <w:abstractNumId w:val="188"/>
  </w:num>
  <w:num w:numId="35">
    <w:abstractNumId w:val="48"/>
  </w:num>
  <w:num w:numId="36">
    <w:abstractNumId w:val="116"/>
  </w:num>
  <w:num w:numId="37">
    <w:abstractNumId w:val="176"/>
  </w:num>
  <w:num w:numId="38">
    <w:abstractNumId w:val="124"/>
  </w:num>
  <w:num w:numId="39">
    <w:abstractNumId w:val="192"/>
  </w:num>
  <w:num w:numId="40">
    <w:abstractNumId w:val="86"/>
  </w:num>
  <w:num w:numId="41">
    <w:abstractNumId w:val="71"/>
  </w:num>
  <w:num w:numId="42">
    <w:abstractNumId w:val="25"/>
  </w:num>
  <w:num w:numId="43">
    <w:abstractNumId w:val="76"/>
  </w:num>
  <w:num w:numId="44">
    <w:abstractNumId w:val="104"/>
  </w:num>
  <w:num w:numId="45">
    <w:abstractNumId w:val="20"/>
  </w:num>
  <w:num w:numId="46">
    <w:abstractNumId w:val="63"/>
  </w:num>
  <w:num w:numId="47">
    <w:abstractNumId w:val="63"/>
    <w:lvlOverride w:ilvl="0">
      <w:startOverride w:val="1"/>
    </w:lvlOverride>
  </w:num>
  <w:num w:numId="48">
    <w:abstractNumId w:val="53"/>
  </w:num>
  <w:num w:numId="49">
    <w:abstractNumId w:val="122"/>
  </w:num>
  <w:num w:numId="50">
    <w:abstractNumId w:val="1"/>
  </w:num>
  <w:num w:numId="51">
    <w:abstractNumId w:val="59"/>
  </w:num>
  <w:num w:numId="52">
    <w:abstractNumId w:val="21"/>
  </w:num>
  <w:num w:numId="53">
    <w:abstractNumId w:val="66"/>
  </w:num>
  <w:num w:numId="54">
    <w:abstractNumId w:val="185"/>
  </w:num>
  <w:num w:numId="55">
    <w:abstractNumId w:val="108"/>
  </w:num>
  <w:num w:numId="56">
    <w:abstractNumId w:val="27"/>
  </w:num>
  <w:num w:numId="57">
    <w:abstractNumId w:val="171"/>
  </w:num>
  <w:num w:numId="58">
    <w:abstractNumId w:val="13"/>
  </w:num>
  <w:num w:numId="59">
    <w:abstractNumId w:val="65"/>
  </w:num>
  <w:num w:numId="60">
    <w:abstractNumId w:val="60"/>
  </w:num>
  <w:num w:numId="61">
    <w:abstractNumId w:val="102"/>
  </w:num>
  <w:num w:numId="62">
    <w:abstractNumId w:val="111"/>
  </w:num>
  <w:num w:numId="63">
    <w:abstractNumId w:val="98"/>
  </w:num>
  <w:num w:numId="64">
    <w:abstractNumId w:val="154"/>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88"/>
  </w:num>
  <w:num w:numId="68">
    <w:abstractNumId w:val="26"/>
  </w:num>
  <w:num w:numId="69">
    <w:abstractNumId w:val="194"/>
  </w:num>
  <w:num w:numId="70">
    <w:abstractNumId w:val="43"/>
  </w:num>
  <w:num w:numId="71">
    <w:abstractNumId w:val="155"/>
  </w:num>
  <w:num w:numId="72">
    <w:abstractNumId w:val="114"/>
  </w:num>
  <w:num w:numId="73">
    <w:abstractNumId w:val="16"/>
  </w:num>
  <w:num w:numId="74">
    <w:abstractNumId w:val="112"/>
  </w:num>
  <w:num w:numId="75">
    <w:abstractNumId w:val="137"/>
  </w:num>
  <w:num w:numId="76">
    <w:abstractNumId w:val="37"/>
  </w:num>
  <w:num w:numId="7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3"/>
  </w:num>
  <w:num w:numId="79">
    <w:abstractNumId w:val="212"/>
  </w:num>
  <w:num w:numId="80">
    <w:abstractNumId w:val="172"/>
  </w:num>
  <w:num w:numId="81">
    <w:abstractNumId w:val="204"/>
  </w:num>
  <w:num w:numId="82">
    <w:abstractNumId w:val="47"/>
  </w:num>
  <w:num w:numId="83">
    <w:abstractNumId w:val="68"/>
  </w:num>
  <w:num w:numId="84">
    <w:abstractNumId w:val="94"/>
  </w:num>
  <w:num w:numId="85">
    <w:abstractNumId w:val="126"/>
  </w:num>
  <w:num w:numId="86">
    <w:abstractNumId w:val="0"/>
  </w:num>
  <w:num w:numId="87">
    <w:abstractNumId w:val="31"/>
  </w:num>
  <w:num w:numId="88">
    <w:abstractNumId w:val="134"/>
  </w:num>
  <w:num w:numId="89">
    <w:abstractNumId w:val="46"/>
  </w:num>
  <w:num w:numId="90">
    <w:abstractNumId w:val="50"/>
  </w:num>
  <w:num w:numId="91">
    <w:abstractNumId w:val="36"/>
  </w:num>
  <w:num w:numId="92">
    <w:abstractNumId w:val="34"/>
  </w:num>
  <w:num w:numId="93">
    <w:abstractNumId w:val="67"/>
  </w:num>
  <w:num w:numId="9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6"/>
  </w:num>
  <w:num w:numId="96">
    <w:abstractNumId w:val="181"/>
  </w:num>
  <w:num w:numId="97">
    <w:abstractNumId w:val="113"/>
  </w:num>
  <w:num w:numId="98">
    <w:abstractNumId w:val="180"/>
  </w:num>
  <w:num w:numId="99">
    <w:abstractNumId w:val="206"/>
  </w:num>
  <w:num w:numId="100">
    <w:abstractNumId w:val="190"/>
  </w:num>
  <w:num w:numId="101">
    <w:abstractNumId w:val="145"/>
  </w:num>
  <w:num w:numId="102">
    <w:abstractNumId w:val="146"/>
  </w:num>
  <w:num w:numId="103">
    <w:abstractNumId w:val="152"/>
  </w:num>
  <w:num w:numId="104">
    <w:abstractNumId w:val="191"/>
  </w:num>
  <w:num w:numId="105">
    <w:abstractNumId w:val="97"/>
  </w:num>
  <w:num w:numId="106">
    <w:abstractNumId w:val="123"/>
  </w:num>
  <w:num w:numId="10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8"/>
  </w:num>
  <w:num w:numId="109">
    <w:abstractNumId w:val="38"/>
  </w:num>
  <w:num w:numId="110">
    <w:abstractNumId w:val="55"/>
  </w:num>
  <w:num w:numId="111">
    <w:abstractNumId w:val="151"/>
  </w:num>
  <w:num w:numId="112">
    <w:abstractNumId w:val="170"/>
  </w:num>
  <w:num w:numId="113">
    <w:abstractNumId w:val="163"/>
  </w:num>
  <w:num w:numId="114">
    <w:abstractNumId w:val="42"/>
  </w:num>
  <w:num w:numId="115">
    <w:abstractNumId w:val="101"/>
  </w:num>
  <w:num w:numId="116">
    <w:abstractNumId w:val="19"/>
  </w:num>
  <w:num w:numId="117">
    <w:abstractNumId w:val="132"/>
  </w:num>
  <w:num w:numId="118">
    <w:abstractNumId w:val="84"/>
  </w:num>
  <w:num w:numId="1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1"/>
  </w:num>
  <w:num w:numId="121">
    <w:abstractNumId w:val="92"/>
  </w:num>
  <w:num w:numId="122">
    <w:abstractNumId w:val="195"/>
  </w:num>
  <w:num w:numId="123">
    <w:abstractNumId w:val="79"/>
  </w:num>
  <w:num w:numId="124">
    <w:abstractNumId w:val="205"/>
  </w:num>
  <w:num w:numId="125">
    <w:abstractNumId w:val="121"/>
  </w:num>
  <w:num w:numId="12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0"/>
  </w:num>
  <w:num w:numId="128">
    <w:abstractNumId w:val="150"/>
  </w:num>
  <w:num w:numId="12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3"/>
  </w:num>
  <w:num w:numId="1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0"/>
  </w:num>
  <w:num w:numId="134">
    <w:abstractNumId w:val="20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7"/>
  </w:num>
  <w:num w:numId="136">
    <w:abstractNumId w:val="16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num>
  <w:num w:numId="138">
    <w:abstractNumId w:val="74"/>
  </w:num>
  <w:num w:numId="139">
    <w:abstractNumId w:val="20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8"/>
  </w:num>
  <w:num w:numId="142">
    <w:abstractNumId w:val="115"/>
  </w:num>
  <w:num w:numId="143">
    <w:abstractNumId w:val="93"/>
  </w:num>
  <w:num w:numId="144">
    <w:abstractNumId w:val="40"/>
  </w:num>
  <w:num w:numId="145">
    <w:abstractNumId w:val="210"/>
  </w:num>
  <w:num w:numId="146">
    <w:abstractNumId w:val="159"/>
  </w:num>
  <w:num w:numId="147">
    <w:abstractNumId w:val="139"/>
  </w:num>
  <w:num w:numId="148">
    <w:abstractNumId w:val="78"/>
  </w:num>
  <w:num w:numId="149">
    <w:abstractNumId w:val="45"/>
  </w:num>
  <w:num w:numId="150">
    <w:abstractNumId w:val="177"/>
  </w:num>
  <w:num w:numId="151">
    <w:abstractNumId w:val="75"/>
  </w:num>
  <w:num w:numId="152">
    <w:abstractNumId w:val="51"/>
  </w:num>
  <w:num w:numId="153">
    <w:abstractNumId w:val="100"/>
  </w:num>
  <w:num w:numId="154">
    <w:abstractNumId w:val="3"/>
  </w:num>
  <w:num w:numId="155">
    <w:abstractNumId w:val="41"/>
  </w:num>
  <w:num w:numId="156">
    <w:abstractNumId w:val="58"/>
  </w:num>
  <w:num w:numId="157">
    <w:abstractNumId w:val="189"/>
  </w:num>
  <w:num w:numId="158">
    <w:abstractNumId w:val="106"/>
  </w:num>
  <w:num w:numId="159">
    <w:abstractNumId w:val="173"/>
  </w:num>
  <w:num w:numId="160">
    <w:abstractNumId w:val="193"/>
  </w:num>
  <w:num w:numId="161">
    <w:abstractNumId w:val="179"/>
  </w:num>
  <w:num w:numId="162">
    <w:abstractNumId w:val="96"/>
  </w:num>
  <w:num w:numId="163">
    <w:abstractNumId w:val="187"/>
  </w:num>
  <w:num w:numId="164">
    <w:abstractNumId w:val="73"/>
  </w:num>
  <w:num w:numId="165">
    <w:abstractNumId w:val="211"/>
  </w:num>
  <w:num w:numId="166">
    <w:abstractNumId w:val="70"/>
  </w:num>
  <w:num w:numId="167">
    <w:abstractNumId w:val="136"/>
  </w:num>
  <w:num w:numId="168">
    <w:abstractNumId w:val="198"/>
  </w:num>
  <w:num w:numId="169">
    <w:abstractNumId w:val="117"/>
  </w:num>
  <w:num w:numId="170">
    <w:abstractNumId w:val="57"/>
  </w:num>
  <w:num w:numId="171">
    <w:abstractNumId w:val="107"/>
  </w:num>
  <w:num w:numId="172">
    <w:abstractNumId w:val="107"/>
  </w:num>
  <w:num w:numId="173">
    <w:abstractNumId w:val="208"/>
  </w:num>
  <w:num w:numId="174">
    <w:abstractNumId w:val="107"/>
  </w:num>
  <w:num w:numId="175">
    <w:abstractNumId w:val="91"/>
  </w:num>
  <w:num w:numId="176">
    <w:abstractNumId w:val="129"/>
  </w:num>
  <w:num w:numId="177">
    <w:abstractNumId w:val="2"/>
  </w:num>
  <w:num w:numId="178">
    <w:abstractNumId w:val="153"/>
  </w:num>
  <w:num w:numId="179">
    <w:abstractNumId w:val="153"/>
  </w:num>
  <w:num w:numId="180">
    <w:abstractNumId w:val="107"/>
  </w:num>
  <w:num w:numId="181">
    <w:abstractNumId w:val="157"/>
  </w:num>
  <w:num w:numId="182">
    <w:abstractNumId w:val="160"/>
  </w:num>
  <w:num w:numId="183">
    <w:abstractNumId w:val="207"/>
  </w:num>
  <w:num w:numId="184">
    <w:abstractNumId w:val="110"/>
  </w:num>
  <w:num w:numId="185">
    <w:abstractNumId w:val="99"/>
  </w:num>
  <w:num w:numId="186">
    <w:abstractNumId w:val="83"/>
  </w:num>
  <w:num w:numId="187">
    <w:abstractNumId w:val="107"/>
  </w:num>
  <w:num w:numId="188">
    <w:abstractNumId w:val="107"/>
  </w:num>
  <w:num w:numId="189">
    <w:abstractNumId w:val="107"/>
  </w:num>
  <w:num w:numId="190">
    <w:abstractNumId w:val="107"/>
  </w:num>
  <w:num w:numId="191">
    <w:abstractNumId w:val="107"/>
  </w:num>
  <w:num w:numId="192">
    <w:abstractNumId w:val="107"/>
  </w:num>
  <w:num w:numId="193">
    <w:abstractNumId w:val="107"/>
  </w:num>
  <w:num w:numId="194">
    <w:abstractNumId w:val="157"/>
  </w:num>
  <w:num w:numId="195">
    <w:abstractNumId w:val="157"/>
  </w:num>
  <w:num w:numId="196">
    <w:abstractNumId w:val="130"/>
  </w:num>
  <w:num w:numId="197">
    <w:abstractNumId w:val="87"/>
  </w:num>
  <w:num w:numId="198">
    <w:abstractNumId w:val="165"/>
  </w:num>
  <w:num w:numId="199">
    <w:abstractNumId w:val="182"/>
  </w:num>
  <w:num w:numId="2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2"/>
  </w:num>
  <w:num w:numId="204">
    <w:abstractNumId w:val="64"/>
  </w:num>
  <w:num w:numId="205">
    <w:abstractNumId w:val="175"/>
  </w:num>
  <w:num w:numId="206">
    <w:abstractNumId w:val="61"/>
  </w:num>
  <w:num w:numId="207">
    <w:abstractNumId w:val="149"/>
  </w:num>
  <w:num w:numId="208">
    <w:abstractNumId w:val="197"/>
  </w:num>
  <w:num w:numId="209">
    <w:abstractNumId w:val="69"/>
  </w:num>
  <w:num w:numId="210">
    <w:abstractNumId w:val="166"/>
  </w:num>
  <w:num w:numId="211">
    <w:abstractNumId w:val="95"/>
  </w:num>
  <w:num w:numId="212">
    <w:abstractNumId w:val="157"/>
  </w:num>
  <w:num w:numId="213">
    <w:abstractNumId w:val="32"/>
  </w:num>
  <w:num w:numId="214">
    <w:abstractNumId w:val="22"/>
  </w:num>
  <w:num w:numId="215">
    <w:abstractNumId w:val="62"/>
  </w:num>
  <w:num w:numId="216">
    <w:abstractNumId w:val="201"/>
  </w:num>
  <w:num w:numId="217">
    <w:abstractNumId w:val="148"/>
  </w:num>
  <w:num w:numId="218">
    <w:abstractNumId w:val="7"/>
  </w:num>
  <w:num w:numId="219">
    <w:abstractNumId w:val="6"/>
  </w:num>
  <w:num w:numId="220">
    <w:abstractNumId w:val="23"/>
  </w:num>
  <w:num w:numId="221">
    <w:abstractNumId w:val="174"/>
  </w:num>
  <w:num w:numId="222">
    <w:abstractNumId w:val="156"/>
  </w:num>
  <w:num w:numId="223">
    <w:abstractNumId w:val="138"/>
  </w:num>
  <w:num w:numId="224">
    <w:abstractNumId w:val="30"/>
  </w:num>
  <w:num w:numId="225">
    <w:abstractNumId w:val="169"/>
  </w:num>
  <w:num w:numId="226">
    <w:abstractNumId w:val="85"/>
  </w:num>
  <w:num w:numId="227">
    <w:abstractNumId w:val="49"/>
  </w:num>
  <w:num w:numId="228">
    <w:abstractNumId w:val="35"/>
  </w:num>
  <w:num w:numId="229">
    <w:abstractNumId w:val="119"/>
  </w:num>
  <w:num w:numId="230">
    <w:abstractNumId w:val="143"/>
  </w:num>
  <w:num w:numId="231">
    <w:abstractNumId w:val="80"/>
  </w:num>
  <w:num w:numId="232">
    <w:abstractNumId w:val="183"/>
  </w:num>
  <w:num w:numId="233">
    <w:abstractNumId w:val="157"/>
  </w:num>
  <w:num w:numId="234">
    <w:abstractNumId w:val="157"/>
  </w:num>
  <w:num w:numId="235">
    <w:abstractNumId w:val="157"/>
  </w:num>
  <w:num w:numId="236">
    <w:abstractNumId w:val="157"/>
  </w:num>
  <w:num w:numId="237">
    <w:abstractNumId w:val="164"/>
  </w:num>
  <w:num w:numId="238">
    <w:abstractNumId w:val="131"/>
  </w:num>
  <w:num w:numId="239">
    <w:abstractNumId w:val="77"/>
  </w:num>
  <w:num w:numId="240">
    <w:abstractNumId w:val="141"/>
  </w:num>
  <w:num w:numId="241">
    <w:abstractNumId w:val="28"/>
  </w:num>
  <w:num w:numId="242">
    <w:abstractNumId w:val="109"/>
  </w:num>
  <w:num w:numId="243">
    <w:abstractNumId w:val="54"/>
  </w:num>
  <w:num w:numId="244">
    <w:abstractNumId w:val="127"/>
  </w:num>
  <w:num w:numId="245">
    <w:abstractNumId w:val="178"/>
  </w:num>
  <w:num w:numId="246">
    <w:abstractNumId w:val="18"/>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E06"/>
    <w:rsid w:val="00114720"/>
    <w:rsid w:val="00116F5D"/>
    <w:rsid w:val="00120F99"/>
    <w:rsid w:val="0012263C"/>
    <w:rsid w:val="00123C6B"/>
    <w:rsid w:val="00125DBA"/>
    <w:rsid w:val="00127B0D"/>
    <w:rsid w:val="0013016E"/>
    <w:rsid w:val="00131BB0"/>
    <w:rsid w:val="00135D24"/>
    <w:rsid w:val="00135E1E"/>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31C0"/>
    <w:rsid w:val="001A4074"/>
    <w:rsid w:val="001A4C90"/>
    <w:rsid w:val="001A6D39"/>
    <w:rsid w:val="001A7987"/>
    <w:rsid w:val="001A7D8A"/>
    <w:rsid w:val="001B0ACA"/>
    <w:rsid w:val="001B0D4B"/>
    <w:rsid w:val="001B1FD4"/>
    <w:rsid w:val="001B3087"/>
    <w:rsid w:val="001B3C4E"/>
    <w:rsid w:val="001B3D47"/>
    <w:rsid w:val="001B5005"/>
    <w:rsid w:val="001B59B4"/>
    <w:rsid w:val="001B5D7C"/>
    <w:rsid w:val="001B64F2"/>
    <w:rsid w:val="001B76F7"/>
    <w:rsid w:val="001B7C50"/>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244C"/>
    <w:rsid w:val="00203597"/>
    <w:rsid w:val="002040D9"/>
    <w:rsid w:val="00204226"/>
    <w:rsid w:val="00204D22"/>
    <w:rsid w:val="002077EB"/>
    <w:rsid w:val="00207827"/>
    <w:rsid w:val="002126EA"/>
    <w:rsid w:val="00213492"/>
    <w:rsid w:val="00217477"/>
    <w:rsid w:val="00217624"/>
    <w:rsid w:val="00217703"/>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3F5"/>
    <w:rsid w:val="00260669"/>
    <w:rsid w:val="0026178D"/>
    <w:rsid w:val="00262611"/>
    <w:rsid w:val="002636F7"/>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3BB4"/>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2606"/>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6D4"/>
    <w:rsid w:val="00577858"/>
    <w:rsid w:val="0058077E"/>
    <w:rsid w:val="00580DCE"/>
    <w:rsid w:val="005827CD"/>
    <w:rsid w:val="00585C5E"/>
    <w:rsid w:val="005865B4"/>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15BA"/>
    <w:rsid w:val="00623AF9"/>
    <w:rsid w:val="00632AAF"/>
    <w:rsid w:val="00634A93"/>
    <w:rsid w:val="00635351"/>
    <w:rsid w:val="00635D34"/>
    <w:rsid w:val="00635E2F"/>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6F6BD1"/>
    <w:rsid w:val="00701426"/>
    <w:rsid w:val="007016C0"/>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37DE1"/>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072"/>
    <w:rsid w:val="008331F0"/>
    <w:rsid w:val="0083360D"/>
    <w:rsid w:val="008340B9"/>
    <w:rsid w:val="00834BCC"/>
    <w:rsid w:val="00835AF0"/>
    <w:rsid w:val="0083701C"/>
    <w:rsid w:val="0083727A"/>
    <w:rsid w:val="00837982"/>
    <w:rsid w:val="0084076D"/>
    <w:rsid w:val="0084118F"/>
    <w:rsid w:val="008434DB"/>
    <w:rsid w:val="00850462"/>
    <w:rsid w:val="008531BD"/>
    <w:rsid w:val="00853F09"/>
    <w:rsid w:val="00861165"/>
    <w:rsid w:val="00862493"/>
    <w:rsid w:val="00862613"/>
    <w:rsid w:val="00865051"/>
    <w:rsid w:val="00865858"/>
    <w:rsid w:val="0086674A"/>
    <w:rsid w:val="008674AF"/>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A7512"/>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6711"/>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950"/>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38A9"/>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7749C"/>
    <w:rsid w:val="00C80418"/>
    <w:rsid w:val="00C81073"/>
    <w:rsid w:val="00C831B9"/>
    <w:rsid w:val="00C83A60"/>
    <w:rsid w:val="00C83DA2"/>
    <w:rsid w:val="00C8532C"/>
    <w:rsid w:val="00C862DC"/>
    <w:rsid w:val="00C90319"/>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59"/>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324"/>
    <w:rsid w:val="00E9482C"/>
    <w:rsid w:val="00E957FD"/>
    <w:rsid w:val="00E961FA"/>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A45"/>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614B"/>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C530FF7E-60F2-41FB-A59F-D8ACE4F4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cb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fedresurs.ru"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e-disclosure.ru/" TargetMode="External"/><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kad.arbitr.ru/" TargetMode="External"/><Relationship Id="rId95" Type="http://schemas.openxmlformats.org/officeDocument/2006/relationships/hyperlink" Target="https://kad.arbitr.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oleObject" Target="embeddings/oleObject47.bin"/><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www.moodys.com/"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moex.com/" TargetMode="External"/><Relationship Id="rId91" Type="http://schemas.openxmlformats.org/officeDocument/2006/relationships/hyperlink" Target="https://bankrot.fedresurs.ru"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www.gks.ru/accounting_report" TargetMode="External"/><Relationship Id="rId99" Type="http://schemas.openxmlformats.org/officeDocument/2006/relationships/image" Target="media/image32.wmf"/><Relationship Id="rId101"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bankruptcy.kommersant.r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4F95-E442-4DE4-A0C5-263E8A60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26068</Words>
  <Characters>148593</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174313</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5</cp:revision>
  <cp:lastPrinted>2023-06-19T12:28:00Z</cp:lastPrinted>
  <dcterms:created xsi:type="dcterms:W3CDTF">2023-06-20T13:00:00Z</dcterms:created>
  <dcterms:modified xsi:type="dcterms:W3CDTF">2023-06-21T13:29:00Z</dcterms:modified>
</cp:coreProperties>
</file>